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DD7DD" w14:textId="77777777" w:rsidR="005F4A8F" w:rsidRPr="00EF2430" w:rsidRDefault="003E6C57" w:rsidP="003E6C57">
      <w:pPr>
        <w:spacing w:after="0" w:line="240" w:lineRule="auto"/>
        <w:contextualSpacing/>
        <w:jc w:val="center"/>
        <w:rPr>
          <w:rFonts w:ascii="Times New Roman" w:eastAsia="Times New Roman" w:hAnsi="Times New Roman" w:cs="Times New Roman"/>
          <w:b/>
          <w:bCs/>
          <w:color w:val="000000" w:themeColor="text1"/>
          <w:spacing w:val="-2"/>
          <w:kern w:val="16"/>
          <w:sz w:val="48"/>
          <w:szCs w:val="48"/>
        </w:rPr>
      </w:pPr>
      <w:proofErr w:type="spellStart"/>
      <w:r w:rsidRPr="00EF2430">
        <w:rPr>
          <w:rFonts w:ascii="Times New Roman" w:eastAsia="Times New Roman" w:hAnsi="Times New Roman" w:cs="Times New Roman"/>
          <w:b/>
          <w:bCs/>
          <w:color w:val="000000" w:themeColor="text1"/>
          <w:spacing w:val="-2"/>
          <w:kern w:val="16"/>
          <w:sz w:val="48"/>
          <w:szCs w:val="48"/>
        </w:rPr>
        <w:t>Rosmarinic</w:t>
      </w:r>
      <w:proofErr w:type="spellEnd"/>
      <w:r w:rsidRPr="00EF2430">
        <w:rPr>
          <w:rFonts w:ascii="Times New Roman" w:eastAsia="Times New Roman" w:hAnsi="Times New Roman" w:cs="Times New Roman"/>
          <w:b/>
          <w:bCs/>
          <w:color w:val="000000" w:themeColor="text1"/>
          <w:spacing w:val="-2"/>
          <w:kern w:val="16"/>
          <w:sz w:val="48"/>
          <w:szCs w:val="48"/>
        </w:rPr>
        <w:t xml:space="preserve"> Acid Attenuates Paraquat-Induced Lung Injury by Suppressing </w:t>
      </w:r>
    </w:p>
    <w:p w14:paraId="3C047E41" w14:textId="154BC47E" w:rsidR="003E6C57" w:rsidRPr="00EF2430" w:rsidRDefault="003E6C57" w:rsidP="003E6C57">
      <w:pPr>
        <w:spacing w:after="0" w:line="240" w:lineRule="auto"/>
        <w:contextualSpacing/>
        <w:jc w:val="center"/>
        <w:rPr>
          <w:rFonts w:ascii="Times New Roman" w:eastAsia="Times New Roman" w:hAnsi="Times New Roman" w:cs="Times New Roman"/>
          <w:b/>
          <w:bCs/>
          <w:color w:val="000000" w:themeColor="text1"/>
          <w:spacing w:val="-2"/>
          <w:kern w:val="16"/>
          <w:sz w:val="48"/>
          <w:szCs w:val="48"/>
        </w:rPr>
      </w:pPr>
      <w:r w:rsidRPr="00EF2430">
        <w:rPr>
          <w:rFonts w:ascii="Times New Roman" w:eastAsia="Times New Roman" w:hAnsi="Times New Roman" w:cs="Times New Roman"/>
          <w:b/>
          <w:bCs/>
          <w:color w:val="000000" w:themeColor="text1"/>
          <w:spacing w:val="-2"/>
          <w:kern w:val="16"/>
          <w:sz w:val="48"/>
          <w:szCs w:val="48"/>
        </w:rPr>
        <w:t>Inflammatory Responses in Mice</w:t>
      </w:r>
    </w:p>
    <w:p w14:paraId="65E84259" w14:textId="77777777" w:rsidR="000165B2" w:rsidRPr="00EF2430" w:rsidRDefault="000165B2" w:rsidP="00CF7848">
      <w:pPr>
        <w:spacing w:after="0" w:line="240" w:lineRule="auto"/>
        <w:contextualSpacing/>
        <w:jc w:val="center"/>
        <w:rPr>
          <w:rFonts w:ascii="Times New Roman" w:eastAsia="Times New Roman" w:hAnsi="Times New Roman" w:cs="Times New Roman"/>
          <w:iCs/>
          <w:color w:val="000000" w:themeColor="text1"/>
          <w:spacing w:val="-12"/>
          <w:sz w:val="32"/>
          <w:szCs w:val="32"/>
          <w:lang w:bidi="fa-IR"/>
        </w:rPr>
      </w:pPr>
    </w:p>
    <w:p w14:paraId="301F6CB4" w14:textId="51DCD285" w:rsidR="007C1982" w:rsidRPr="00EF2430" w:rsidRDefault="007C1982" w:rsidP="0085214E">
      <w:pPr>
        <w:spacing w:after="0" w:line="240" w:lineRule="auto"/>
        <w:contextualSpacing/>
        <w:jc w:val="center"/>
        <w:rPr>
          <w:rFonts w:ascii="Times New Roman" w:eastAsia="Times New Roman" w:hAnsi="Times New Roman" w:cs="Times New Roman"/>
          <w:iCs/>
          <w:color w:val="000000" w:themeColor="text1"/>
          <w:spacing w:val="-8"/>
          <w:sz w:val="32"/>
          <w:szCs w:val="32"/>
          <w:lang w:val="en-GB" w:bidi="fa-IR"/>
        </w:rPr>
      </w:pPr>
      <w:r w:rsidRPr="00EF2430">
        <w:rPr>
          <w:rFonts w:ascii="Times New Roman" w:eastAsia="Times New Roman" w:hAnsi="Times New Roman" w:cs="Times New Roman"/>
          <w:iCs/>
          <w:color w:val="000000" w:themeColor="text1"/>
          <w:spacing w:val="-8"/>
          <w:sz w:val="32"/>
          <w:szCs w:val="32"/>
          <w:lang w:val="en-GB" w:bidi="fa-IR"/>
        </w:rPr>
        <w:t>Mojgan Naghitorabi</w:t>
      </w:r>
      <w:r w:rsidRPr="00EF2430">
        <w:rPr>
          <w:rFonts w:ascii="Times New Roman" w:eastAsia="Times New Roman" w:hAnsi="Times New Roman" w:cs="Times New Roman"/>
          <w:iCs/>
          <w:color w:val="000000" w:themeColor="text1"/>
          <w:spacing w:val="-8"/>
          <w:sz w:val="32"/>
          <w:szCs w:val="32"/>
          <w:vertAlign w:val="superscript"/>
          <w:lang w:val="en-GB" w:bidi="fa-IR"/>
        </w:rPr>
        <w:t>1,2</w:t>
      </w:r>
      <w:r w:rsidRPr="00EF2430">
        <w:rPr>
          <w:rFonts w:ascii="Times New Roman" w:eastAsia="Times New Roman" w:hAnsi="Times New Roman" w:cs="Times New Roman"/>
          <w:iCs/>
          <w:color w:val="000000" w:themeColor="text1"/>
          <w:spacing w:val="-8"/>
          <w:sz w:val="32"/>
          <w:szCs w:val="32"/>
          <w:lang w:val="en-GB" w:bidi="fa-IR"/>
        </w:rPr>
        <w:t>, Hadis Shayeganfar</w:t>
      </w:r>
      <w:r w:rsidRPr="00EF2430">
        <w:rPr>
          <w:rFonts w:ascii="Times New Roman" w:eastAsia="Times New Roman" w:hAnsi="Times New Roman" w:cs="Times New Roman"/>
          <w:iCs/>
          <w:color w:val="000000" w:themeColor="text1"/>
          <w:spacing w:val="-8"/>
          <w:sz w:val="32"/>
          <w:szCs w:val="32"/>
          <w:vertAlign w:val="superscript"/>
          <w:lang w:val="en-GB" w:bidi="fa-IR"/>
        </w:rPr>
        <w:t>3</w:t>
      </w:r>
      <w:r w:rsidRPr="00EF2430">
        <w:rPr>
          <w:rFonts w:ascii="Times New Roman" w:eastAsia="Times New Roman" w:hAnsi="Times New Roman" w:cs="Times New Roman"/>
          <w:iCs/>
          <w:color w:val="000000" w:themeColor="text1"/>
          <w:spacing w:val="-8"/>
          <w:sz w:val="32"/>
          <w:szCs w:val="32"/>
          <w:lang w:val="en-GB" w:bidi="fa-IR"/>
        </w:rPr>
        <w:t>, Mohammad Javad Khodayar</w:t>
      </w:r>
      <w:r w:rsidRPr="00EF2430">
        <w:rPr>
          <w:rFonts w:ascii="Times New Roman" w:eastAsia="Times New Roman" w:hAnsi="Times New Roman" w:cs="Times New Roman"/>
          <w:iCs/>
          <w:color w:val="000000" w:themeColor="text1"/>
          <w:spacing w:val="-8"/>
          <w:sz w:val="32"/>
          <w:szCs w:val="32"/>
          <w:vertAlign w:val="superscript"/>
          <w:lang w:val="en-GB" w:bidi="fa-IR"/>
        </w:rPr>
        <w:t>1,3</w:t>
      </w:r>
      <w:r w:rsidRPr="00EF2430">
        <w:rPr>
          <w:rFonts w:ascii="Times New Roman" w:eastAsia="Times New Roman" w:hAnsi="Times New Roman" w:cs="Times New Roman"/>
          <w:iCs/>
          <w:color w:val="000000" w:themeColor="text1"/>
          <w:spacing w:val="-8"/>
          <w:sz w:val="32"/>
          <w:szCs w:val="32"/>
          <w:lang w:val="en-GB" w:bidi="fa-IR"/>
        </w:rPr>
        <w:t>,</w:t>
      </w:r>
      <w:r w:rsidRPr="00EF2430">
        <w:rPr>
          <w:rFonts w:ascii="Times New Roman" w:eastAsia="Times New Roman" w:hAnsi="Times New Roman" w:cs="Times New Roman"/>
          <w:iCs/>
          <w:color w:val="000000" w:themeColor="text1"/>
          <w:spacing w:val="-8"/>
          <w:sz w:val="32"/>
          <w:szCs w:val="32"/>
          <w:vertAlign w:val="superscript"/>
          <w:lang w:val="en-GB" w:bidi="fa-IR"/>
        </w:rPr>
        <w:t xml:space="preserve"> </w:t>
      </w:r>
      <w:r w:rsidRPr="00EF2430">
        <w:rPr>
          <w:rFonts w:ascii="Times New Roman" w:eastAsia="Times New Roman" w:hAnsi="Times New Roman" w:cs="Times New Roman"/>
          <w:iCs/>
          <w:color w:val="000000" w:themeColor="text1"/>
          <w:spacing w:val="-8"/>
          <w:sz w:val="32"/>
          <w:szCs w:val="32"/>
          <w:lang w:val="en-GB" w:bidi="fa-IR"/>
        </w:rPr>
        <w:t>Shahrzad Molavinia</w:t>
      </w:r>
      <w:r w:rsidRPr="00EF2430">
        <w:rPr>
          <w:rFonts w:ascii="Times New Roman" w:eastAsia="Times New Roman" w:hAnsi="Times New Roman" w:cs="Times New Roman"/>
          <w:iCs/>
          <w:color w:val="000000" w:themeColor="text1"/>
          <w:spacing w:val="-8"/>
          <w:sz w:val="32"/>
          <w:szCs w:val="32"/>
          <w:vertAlign w:val="superscript"/>
          <w:lang w:val="en-GB" w:bidi="fa-IR"/>
        </w:rPr>
        <w:t>1</w:t>
      </w:r>
      <w:r w:rsidRPr="00EF2430">
        <w:rPr>
          <w:rFonts w:ascii="Times New Roman" w:eastAsia="Times New Roman" w:hAnsi="Times New Roman" w:cs="Times New Roman"/>
          <w:iCs/>
          <w:color w:val="000000" w:themeColor="text1"/>
          <w:spacing w:val="-8"/>
          <w:sz w:val="32"/>
          <w:szCs w:val="32"/>
          <w:lang w:val="en-GB" w:bidi="fa-IR"/>
        </w:rPr>
        <w:t xml:space="preserve">, </w:t>
      </w:r>
      <w:proofErr w:type="spellStart"/>
      <w:r w:rsidRPr="00EF2430">
        <w:rPr>
          <w:rFonts w:ascii="Times New Roman" w:eastAsia="Times New Roman" w:hAnsi="Times New Roman" w:cs="Times New Roman"/>
          <w:iCs/>
          <w:color w:val="000000" w:themeColor="text1"/>
          <w:spacing w:val="-8"/>
          <w:sz w:val="32"/>
          <w:szCs w:val="32"/>
          <w:lang w:val="en-GB" w:bidi="fa-IR"/>
        </w:rPr>
        <w:t>Mehrnoosh</w:t>
      </w:r>
      <w:proofErr w:type="spellEnd"/>
      <w:r w:rsidRPr="00EF2430">
        <w:rPr>
          <w:rFonts w:ascii="Times New Roman" w:eastAsia="Times New Roman" w:hAnsi="Times New Roman" w:cs="Times New Roman"/>
          <w:iCs/>
          <w:color w:val="000000" w:themeColor="text1"/>
          <w:spacing w:val="-8"/>
          <w:sz w:val="32"/>
          <w:szCs w:val="32"/>
          <w:lang w:val="en-GB" w:bidi="fa-IR"/>
        </w:rPr>
        <w:t xml:space="preserve"> Moosavi</w:t>
      </w:r>
      <w:r w:rsidRPr="00EF2430">
        <w:rPr>
          <w:rFonts w:ascii="Times New Roman" w:eastAsia="Times New Roman" w:hAnsi="Times New Roman" w:cs="Times New Roman"/>
          <w:iCs/>
          <w:color w:val="000000" w:themeColor="text1"/>
          <w:spacing w:val="-8"/>
          <w:sz w:val="32"/>
          <w:szCs w:val="32"/>
          <w:vertAlign w:val="superscript"/>
          <w:lang w:val="en-GB" w:bidi="fa-IR"/>
        </w:rPr>
        <w:t>1,3</w:t>
      </w:r>
      <w:r w:rsidRPr="00EF2430">
        <w:rPr>
          <w:rFonts w:ascii="Times New Roman" w:eastAsia="Times New Roman" w:hAnsi="Times New Roman" w:cs="Times New Roman"/>
          <w:iCs/>
          <w:color w:val="000000" w:themeColor="text1"/>
          <w:spacing w:val="-8"/>
          <w:sz w:val="32"/>
          <w:szCs w:val="32"/>
          <w:lang w:val="en-GB" w:bidi="fa-IR"/>
        </w:rPr>
        <w:t xml:space="preserve">, </w:t>
      </w:r>
      <w:proofErr w:type="spellStart"/>
      <w:r w:rsidRPr="00EF2430">
        <w:rPr>
          <w:rFonts w:ascii="Times New Roman" w:eastAsia="Times New Roman" w:hAnsi="Times New Roman" w:cs="Times New Roman"/>
          <w:iCs/>
          <w:color w:val="000000" w:themeColor="text1"/>
          <w:spacing w:val="-8"/>
          <w:sz w:val="32"/>
          <w:szCs w:val="32"/>
          <w:lang w:val="en-GB" w:bidi="fa-IR"/>
        </w:rPr>
        <w:t>Layasadat</w:t>
      </w:r>
      <w:proofErr w:type="spellEnd"/>
      <w:r w:rsidRPr="00EF2430">
        <w:rPr>
          <w:rFonts w:ascii="Times New Roman" w:eastAsia="Times New Roman" w:hAnsi="Times New Roman" w:cs="Times New Roman"/>
          <w:iCs/>
          <w:color w:val="000000" w:themeColor="text1"/>
          <w:spacing w:val="-8"/>
          <w:sz w:val="32"/>
          <w:szCs w:val="32"/>
          <w:lang w:val="en-GB" w:bidi="fa-IR"/>
        </w:rPr>
        <w:t xml:space="preserve"> Khorsandi</w:t>
      </w:r>
      <w:r w:rsidRPr="00EF2430">
        <w:rPr>
          <w:rFonts w:ascii="Times New Roman" w:eastAsia="Times New Roman" w:hAnsi="Times New Roman" w:cs="Times New Roman"/>
          <w:iCs/>
          <w:color w:val="000000" w:themeColor="text1"/>
          <w:spacing w:val="-8"/>
          <w:sz w:val="32"/>
          <w:szCs w:val="32"/>
          <w:vertAlign w:val="superscript"/>
          <w:lang w:val="en-GB" w:bidi="fa-IR"/>
        </w:rPr>
        <w:t>4</w:t>
      </w:r>
      <w:r w:rsidRPr="00EF2430">
        <w:rPr>
          <w:rFonts w:ascii="Times New Roman" w:eastAsia="Times New Roman" w:hAnsi="Times New Roman" w:cs="Times New Roman"/>
          <w:iCs/>
          <w:color w:val="000000" w:themeColor="text1"/>
          <w:spacing w:val="-8"/>
          <w:sz w:val="32"/>
          <w:szCs w:val="32"/>
          <w:lang w:val="en-GB" w:bidi="fa-IR"/>
        </w:rPr>
        <w:t xml:space="preserve">, </w:t>
      </w:r>
    </w:p>
    <w:p w14:paraId="409A0AA9" w14:textId="77777777" w:rsidR="007C1982" w:rsidRPr="00EF2430" w:rsidRDefault="007C1982" w:rsidP="007C1982">
      <w:pPr>
        <w:spacing w:after="0" w:line="240" w:lineRule="auto"/>
        <w:contextualSpacing/>
        <w:jc w:val="center"/>
        <w:rPr>
          <w:rFonts w:ascii="Times New Roman" w:eastAsia="Times New Roman" w:hAnsi="Times New Roman" w:cs="Times New Roman"/>
          <w:iCs/>
          <w:color w:val="000000" w:themeColor="text1"/>
          <w:spacing w:val="-8"/>
          <w:sz w:val="32"/>
          <w:szCs w:val="32"/>
          <w:lang w:val="en-GB" w:bidi="fa-IR"/>
        </w:rPr>
      </w:pPr>
      <w:r w:rsidRPr="00EF2430">
        <w:rPr>
          <w:rFonts w:ascii="Times New Roman" w:eastAsia="Times New Roman" w:hAnsi="Times New Roman" w:cs="Times New Roman"/>
          <w:iCs/>
          <w:color w:val="000000" w:themeColor="text1"/>
          <w:spacing w:val="-8"/>
          <w:sz w:val="32"/>
          <w:szCs w:val="32"/>
          <w:lang w:val="en-GB" w:bidi="fa-IR"/>
        </w:rPr>
        <w:t>Maryam Salehcheh*</w:t>
      </w:r>
      <w:r w:rsidRPr="00EF2430">
        <w:rPr>
          <w:rFonts w:ascii="Times New Roman" w:eastAsia="Times New Roman" w:hAnsi="Times New Roman" w:cs="Times New Roman"/>
          <w:iCs/>
          <w:color w:val="000000" w:themeColor="text1"/>
          <w:spacing w:val="-8"/>
          <w:sz w:val="32"/>
          <w:szCs w:val="32"/>
          <w:vertAlign w:val="superscript"/>
          <w:lang w:val="en-GB" w:bidi="fa-IR"/>
        </w:rPr>
        <w:t>1,3</w:t>
      </w:r>
    </w:p>
    <w:p w14:paraId="0D47D1A8" w14:textId="37754962" w:rsidR="00D44C5F" w:rsidRPr="00EF2430" w:rsidRDefault="005A7422" w:rsidP="00994DA5">
      <w:pPr>
        <w:spacing w:after="0" w:line="240" w:lineRule="auto"/>
        <w:contextualSpacing/>
        <w:jc w:val="center"/>
        <w:rPr>
          <w:rFonts w:ascii="Times New Roman" w:eastAsia="Times New Roman" w:hAnsi="Times New Roman" w:cs="Times New Roman"/>
          <w:color w:val="000000" w:themeColor="text1"/>
          <w:spacing w:val="-6"/>
          <w:sz w:val="32"/>
          <w:szCs w:val="32"/>
          <w:rtl/>
          <w:lang w:bidi="fa-IR"/>
        </w:rPr>
      </w:pPr>
      <w:r>
        <w:rPr>
          <w:rFonts w:ascii="Times New Roman" w:eastAsia="Times New Roman" w:hAnsi="Times New Roman" w:cs="Times New Roman"/>
          <w:noProof/>
          <w:color w:val="000000" w:themeColor="text1"/>
          <w:spacing w:val="-14"/>
          <w:sz w:val="24"/>
          <w:szCs w:val="24"/>
          <w:lang w:bidi="fa-IR"/>
        </w:rPr>
        <w:pict w14:anchorId="434EC429">
          <v:rect id="_x0000_i1025" alt="" style="width:481.95pt;height:1.5pt;mso-width-percent:0;mso-height-percent:0;mso-width-percent:0;mso-height-percent:0" o:hralign="center" o:hrstd="t" o:hrnoshade="t" o:hr="t" fillcolor="#0f243e" stroked="f"/>
        </w:pict>
      </w:r>
    </w:p>
    <w:p w14:paraId="1742C3C5" w14:textId="77777777" w:rsidR="00D44C5F" w:rsidRPr="00EF2430" w:rsidRDefault="00D44C5F" w:rsidP="00D604AC">
      <w:pPr>
        <w:tabs>
          <w:tab w:val="left" w:pos="7931"/>
        </w:tabs>
        <w:spacing w:line="240" w:lineRule="auto"/>
        <w:outlineLvl w:val="0"/>
        <w:rPr>
          <w:rFonts w:ascii="Times New Roman" w:eastAsia="Times New Roman" w:hAnsi="Times New Roman" w:cs="Times New Roman"/>
          <w:b/>
          <w:bCs/>
          <w:color w:val="000000" w:themeColor="text1"/>
          <w:spacing w:val="-6"/>
          <w:sz w:val="28"/>
          <w:szCs w:val="28"/>
          <w:lang w:bidi="fa-IR"/>
        </w:rPr>
      </w:pPr>
      <w:r w:rsidRPr="00EF2430">
        <w:rPr>
          <w:rFonts w:ascii="Times New Roman" w:eastAsia="Times New Roman" w:hAnsi="Times New Roman" w:cs="Times New Roman"/>
          <w:b/>
          <w:bCs/>
          <w:color w:val="000000" w:themeColor="text1"/>
          <w:spacing w:val="-6"/>
          <w:sz w:val="28"/>
          <w:szCs w:val="28"/>
          <w:lang w:bidi="fa-IR"/>
        </w:rPr>
        <w:t>Abstract</w:t>
      </w:r>
    </w:p>
    <w:p w14:paraId="5DEA2883" w14:textId="77777777" w:rsidR="003E6C57" w:rsidRPr="00EF2430" w:rsidRDefault="00230036" w:rsidP="003E6C57">
      <w:pPr>
        <w:tabs>
          <w:tab w:val="left" w:pos="7931"/>
        </w:tabs>
        <w:spacing w:after="0" w:line="240" w:lineRule="auto"/>
        <w:jc w:val="lowKashida"/>
        <w:rPr>
          <w:rFonts w:ascii="Times New Roman" w:eastAsia="Times New Roman" w:hAnsi="Times New Roman" w:cs="Times New Roman"/>
          <w:bCs/>
          <w:color w:val="000000" w:themeColor="text1"/>
          <w:spacing w:val="-4"/>
          <w:sz w:val="24"/>
          <w:szCs w:val="24"/>
          <w:lang w:val="en" w:bidi="en-US"/>
        </w:rPr>
      </w:pPr>
      <w:r w:rsidRPr="00EF2430">
        <w:rPr>
          <w:rFonts w:ascii="Times New Roman" w:eastAsia="Times New Roman" w:hAnsi="Times New Roman" w:cs="Times New Roman"/>
          <w:b/>
          <w:bCs/>
          <w:i/>
          <w:color w:val="000000" w:themeColor="text1"/>
          <w:spacing w:val="-8"/>
          <w:sz w:val="24"/>
          <w:szCs w:val="24"/>
          <w:lang w:val="en-GB" w:bidi="en-US"/>
        </w:rPr>
        <w:t>Background:</w:t>
      </w:r>
      <w:r w:rsidR="00C02CB2" w:rsidRPr="00EF2430">
        <w:rPr>
          <w:rFonts w:ascii="Times New Roman" w:eastAsia="Times New Roman" w:hAnsi="Times New Roman" w:cs="Times New Roman"/>
          <w:bCs/>
          <w:color w:val="000000" w:themeColor="text1"/>
          <w:spacing w:val="-8"/>
          <w:sz w:val="24"/>
          <w:szCs w:val="24"/>
          <w:lang w:val="en-GB" w:bidi="en-US"/>
        </w:rPr>
        <w:t xml:space="preserve"> </w:t>
      </w:r>
      <w:r w:rsidR="003E6C57" w:rsidRPr="00EF2430">
        <w:rPr>
          <w:rFonts w:ascii="Times New Roman" w:eastAsia="Times New Roman" w:hAnsi="Times New Roman" w:cs="Times New Roman"/>
          <w:bCs/>
          <w:color w:val="000000" w:themeColor="text1"/>
          <w:spacing w:val="-4"/>
          <w:sz w:val="24"/>
          <w:szCs w:val="24"/>
          <w:lang w:val="en" w:bidi="en-US"/>
        </w:rPr>
        <w:t xml:space="preserve">Paraquat (PQ) is a commonly used herbicide known for its high toxicity. Despite its hazardous nature, there are currently no effective treatments for PQ poisoning. This study aimed to evaluate the effects of </w:t>
      </w:r>
      <w:proofErr w:type="spellStart"/>
      <w:r w:rsidR="003E6C57" w:rsidRPr="00EF2430">
        <w:rPr>
          <w:rFonts w:ascii="Times New Roman" w:eastAsia="Times New Roman" w:hAnsi="Times New Roman" w:cs="Times New Roman"/>
          <w:bCs/>
          <w:color w:val="000000" w:themeColor="text1"/>
          <w:spacing w:val="-4"/>
          <w:sz w:val="24"/>
          <w:szCs w:val="24"/>
          <w:lang w:bidi="en-US"/>
        </w:rPr>
        <w:t>Rosmarinic</w:t>
      </w:r>
      <w:proofErr w:type="spellEnd"/>
      <w:r w:rsidR="003E6C57" w:rsidRPr="00EF2430">
        <w:rPr>
          <w:rFonts w:ascii="Times New Roman" w:eastAsia="Times New Roman" w:hAnsi="Times New Roman" w:cs="Times New Roman"/>
          <w:bCs/>
          <w:color w:val="000000" w:themeColor="text1"/>
          <w:spacing w:val="-4"/>
          <w:sz w:val="24"/>
          <w:szCs w:val="24"/>
          <w:lang w:bidi="en-US"/>
        </w:rPr>
        <w:t xml:space="preserve"> acid</w:t>
      </w:r>
      <w:r w:rsidR="003E6C57" w:rsidRPr="00EF2430">
        <w:rPr>
          <w:rFonts w:ascii="Times New Roman" w:eastAsia="Times New Roman" w:hAnsi="Times New Roman" w:cs="Times New Roman"/>
          <w:bCs/>
          <w:color w:val="000000" w:themeColor="text1"/>
          <w:spacing w:val="-4"/>
          <w:sz w:val="24"/>
          <w:szCs w:val="24"/>
          <w:lang w:val="en" w:bidi="en-US"/>
        </w:rPr>
        <w:t xml:space="preserve"> (RA), a phenolic compound, on PQ-induced lung injury in mice.</w:t>
      </w:r>
    </w:p>
    <w:p w14:paraId="7B212452" w14:textId="77777777" w:rsidR="003E6C57" w:rsidRPr="00EF2430" w:rsidRDefault="003E6C57" w:rsidP="003E6C57">
      <w:pPr>
        <w:tabs>
          <w:tab w:val="left" w:pos="7931"/>
        </w:tabs>
        <w:spacing w:after="0" w:line="240" w:lineRule="auto"/>
        <w:jc w:val="lowKashida"/>
        <w:rPr>
          <w:rFonts w:ascii="Times New Roman" w:eastAsia="Times New Roman" w:hAnsi="Times New Roman" w:cs="Times New Roman"/>
          <w:bCs/>
          <w:color w:val="000000" w:themeColor="text1"/>
          <w:spacing w:val="-4"/>
          <w:sz w:val="24"/>
          <w:szCs w:val="24"/>
          <w:lang w:val="en" w:bidi="en-US"/>
        </w:rPr>
      </w:pPr>
      <w:r w:rsidRPr="00EF2430">
        <w:rPr>
          <w:rFonts w:ascii="Times New Roman" w:eastAsia="Times New Roman" w:hAnsi="Times New Roman" w:cs="Times New Roman"/>
          <w:b/>
          <w:bCs/>
          <w:i/>
          <w:iCs/>
          <w:color w:val="000000" w:themeColor="text1"/>
          <w:spacing w:val="-4"/>
          <w:sz w:val="24"/>
          <w:szCs w:val="24"/>
          <w:lang w:val="en" w:bidi="en-US"/>
        </w:rPr>
        <w:t>Methods:</w:t>
      </w:r>
      <w:r w:rsidRPr="00EF2430">
        <w:rPr>
          <w:rFonts w:ascii="Times New Roman" w:eastAsia="Times New Roman" w:hAnsi="Times New Roman" w:cs="Times New Roman"/>
          <w:bCs/>
          <w:color w:val="000000" w:themeColor="text1"/>
          <w:spacing w:val="-4"/>
          <w:sz w:val="24"/>
          <w:szCs w:val="24"/>
          <w:lang w:val="en" w:bidi="en-US"/>
        </w:rPr>
        <w:t xml:space="preserve"> Mice were divided into ten groups for two experimental periods, 6- and 24-day periods (five groups each). The first group received normal saline daily, as the control group. Animals in the second group received a single intraperitoneal (</w:t>
      </w:r>
      <w:proofErr w:type="spellStart"/>
      <w:r w:rsidRPr="00EF2430">
        <w:rPr>
          <w:rFonts w:ascii="Times New Roman" w:eastAsia="Times New Roman" w:hAnsi="Times New Roman" w:cs="Times New Roman"/>
          <w:bCs/>
          <w:color w:val="000000" w:themeColor="text1"/>
          <w:spacing w:val="-4"/>
          <w:sz w:val="24"/>
          <w:szCs w:val="24"/>
          <w:lang w:val="en" w:bidi="en-US"/>
        </w:rPr>
        <w:t>i.p.</w:t>
      </w:r>
      <w:proofErr w:type="spellEnd"/>
      <w:r w:rsidRPr="00EF2430">
        <w:rPr>
          <w:rFonts w:ascii="Times New Roman" w:eastAsia="Times New Roman" w:hAnsi="Times New Roman" w:cs="Times New Roman"/>
          <w:bCs/>
          <w:color w:val="000000" w:themeColor="text1"/>
          <w:spacing w:val="-4"/>
          <w:sz w:val="24"/>
          <w:szCs w:val="24"/>
          <w:lang w:val="en" w:bidi="en-US"/>
        </w:rPr>
        <w:t xml:space="preserve">) dose of PQ (25 mg/kg) on day 3. Groups three and four received RA (50 and 100 mg/kg, respectively) orally for 6 or 24 days. Group five received 100 mg/kg of RA daily. Animals were sacrificed 24 h after the last treatment, and lung samples were collected to determine histopathological changes and expression of TLR9, IL-1β, and TNF-α genes using RT-PCR. </w:t>
      </w:r>
    </w:p>
    <w:p w14:paraId="417B4BDC" w14:textId="77777777" w:rsidR="003E6C57" w:rsidRPr="00EF2430" w:rsidRDefault="003E6C57" w:rsidP="003E6C57">
      <w:pPr>
        <w:tabs>
          <w:tab w:val="left" w:pos="7931"/>
        </w:tabs>
        <w:spacing w:after="0" w:line="240" w:lineRule="auto"/>
        <w:jc w:val="lowKashida"/>
        <w:rPr>
          <w:rFonts w:ascii="Times New Roman" w:eastAsia="Times New Roman" w:hAnsi="Times New Roman" w:cs="Times New Roman"/>
          <w:bCs/>
          <w:color w:val="000000" w:themeColor="text1"/>
          <w:spacing w:val="-4"/>
          <w:sz w:val="24"/>
          <w:szCs w:val="24"/>
          <w:lang w:val="en" w:bidi="en-US"/>
        </w:rPr>
      </w:pPr>
      <w:r w:rsidRPr="00EF2430">
        <w:rPr>
          <w:rFonts w:ascii="Times New Roman" w:eastAsia="Times New Roman" w:hAnsi="Times New Roman" w:cs="Times New Roman"/>
          <w:b/>
          <w:bCs/>
          <w:i/>
          <w:iCs/>
          <w:color w:val="000000" w:themeColor="text1"/>
          <w:spacing w:val="-4"/>
          <w:sz w:val="24"/>
          <w:szCs w:val="24"/>
          <w:lang w:val="en" w:bidi="en-US"/>
        </w:rPr>
        <w:t>Results:</w:t>
      </w:r>
      <w:r w:rsidRPr="00EF2430">
        <w:rPr>
          <w:rFonts w:ascii="Times New Roman" w:eastAsia="Times New Roman" w:hAnsi="Times New Roman" w:cs="Times New Roman"/>
          <w:bCs/>
          <w:color w:val="000000" w:themeColor="text1"/>
          <w:spacing w:val="-4"/>
          <w:sz w:val="24"/>
          <w:szCs w:val="24"/>
          <w:lang w:val="en" w:bidi="en-US"/>
        </w:rPr>
        <w:t xml:space="preserve"> Hematoxylin and eosin staining revealed a significant reduction in lung injury following RA treatment. RA notably reduced inflammatory cell infiltration and lung tissue congestion. Furthermore, inflammatory responses triggered by PQ were suppressed after RA treatment, as demonstrated by the downregulation of IL-1β, TNF-α, and TLR9 levels.</w:t>
      </w:r>
    </w:p>
    <w:p w14:paraId="321A0A51" w14:textId="77777777" w:rsidR="003E6C57" w:rsidRPr="00EF2430" w:rsidRDefault="003E6C57" w:rsidP="003E6C57">
      <w:pPr>
        <w:tabs>
          <w:tab w:val="left" w:pos="7931"/>
        </w:tabs>
        <w:spacing w:after="0" w:line="240" w:lineRule="auto"/>
        <w:jc w:val="lowKashida"/>
        <w:rPr>
          <w:rFonts w:ascii="Times New Roman" w:eastAsia="Times New Roman" w:hAnsi="Times New Roman" w:cs="Times New Roman"/>
          <w:bCs/>
          <w:color w:val="000000" w:themeColor="text1"/>
          <w:spacing w:val="-4"/>
          <w:sz w:val="24"/>
          <w:szCs w:val="24"/>
          <w:lang w:val="en" w:bidi="en-US"/>
        </w:rPr>
      </w:pPr>
      <w:r w:rsidRPr="00EF2430">
        <w:rPr>
          <w:rFonts w:ascii="Times New Roman" w:eastAsia="Times New Roman" w:hAnsi="Times New Roman" w:cs="Times New Roman"/>
          <w:b/>
          <w:bCs/>
          <w:i/>
          <w:iCs/>
          <w:color w:val="000000" w:themeColor="text1"/>
          <w:spacing w:val="-4"/>
          <w:sz w:val="24"/>
          <w:szCs w:val="24"/>
          <w:lang w:val="en" w:bidi="en-US"/>
        </w:rPr>
        <w:t>Conclusion:</w:t>
      </w:r>
      <w:r w:rsidRPr="00EF2430">
        <w:rPr>
          <w:rFonts w:ascii="Times New Roman" w:eastAsia="Times New Roman" w:hAnsi="Times New Roman" w:cs="Times New Roman"/>
          <w:bCs/>
          <w:color w:val="000000" w:themeColor="text1"/>
          <w:spacing w:val="-4"/>
          <w:sz w:val="24"/>
          <w:szCs w:val="24"/>
          <w:lang w:val="en" w:bidi="en-US"/>
        </w:rPr>
        <w:t xml:space="preserve"> These findings suggest the therapeutic potential of RA for mitigating PQ-induced lung damage and inflammation.</w:t>
      </w:r>
    </w:p>
    <w:p w14:paraId="050CD7CC" w14:textId="39AA862C" w:rsidR="00F743DD" w:rsidRPr="00EF2430" w:rsidRDefault="00F743DD" w:rsidP="003E6C57">
      <w:pPr>
        <w:tabs>
          <w:tab w:val="left" w:pos="7931"/>
        </w:tabs>
        <w:spacing w:after="0" w:line="240" w:lineRule="auto"/>
        <w:jc w:val="lowKashida"/>
        <w:rPr>
          <w:rFonts w:ascii="Times New Roman" w:eastAsia="Times New Roman" w:hAnsi="Times New Roman" w:cs="Times New Roman"/>
          <w:bCs/>
          <w:color w:val="000000" w:themeColor="text1"/>
          <w:spacing w:val="-6"/>
          <w:sz w:val="24"/>
          <w:szCs w:val="24"/>
          <w:lang w:bidi="en-US"/>
        </w:rPr>
      </w:pPr>
    </w:p>
    <w:p w14:paraId="20FB9B57" w14:textId="308B782D" w:rsidR="00367E92" w:rsidRPr="00EF2430" w:rsidRDefault="00D44C5F" w:rsidP="003E6C57">
      <w:pPr>
        <w:tabs>
          <w:tab w:val="left" w:pos="7931"/>
        </w:tabs>
        <w:spacing w:after="0" w:line="240" w:lineRule="auto"/>
        <w:jc w:val="lowKashida"/>
        <w:rPr>
          <w:rFonts w:ascii="Times New Roman" w:hAnsi="Times New Roman" w:cs="Times New Roman"/>
          <w:iCs/>
          <w:color w:val="000000" w:themeColor="text1"/>
          <w:spacing w:val="-6"/>
          <w:sz w:val="24"/>
          <w:szCs w:val="24"/>
          <w:lang w:bidi="fa-IR"/>
        </w:rPr>
      </w:pPr>
      <w:r w:rsidRPr="00EF2430">
        <w:rPr>
          <w:rFonts w:ascii="Times New Roman" w:eastAsia="Times New Roman" w:hAnsi="Times New Roman" w:cs="Times New Roman"/>
          <w:b/>
          <w:bCs/>
          <w:color w:val="000000" w:themeColor="text1"/>
          <w:spacing w:val="-6"/>
          <w:sz w:val="24"/>
          <w:szCs w:val="24"/>
          <w:lang w:val="en-GB" w:bidi="fa-IR"/>
        </w:rPr>
        <w:t>Keywords</w:t>
      </w:r>
      <w:r w:rsidRPr="00EF2430">
        <w:rPr>
          <w:rFonts w:ascii="Times New Roman" w:eastAsia="Times New Roman" w:hAnsi="Times New Roman" w:cs="Times New Roman"/>
          <w:b/>
          <w:color w:val="000000" w:themeColor="text1"/>
          <w:spacing w:val="-6"/>
          <w:sz w:val="24"/>
          <w:szCs w:val="24"/>
          <w:lang w:val="en-GB" w:bidi="fa-IR"/>
        </w:rPr>
        <w:t>:</w:t>
      </w:r>
      <w:r w:rsidR="00001B9C" w:rsidRPr="00EF2430">
        <w:rPr>
          <w:rFonts w:asciiTheme="majorBidi" w:eastAsiaTheme="minorHAnsi" w:hAnsiTheme="majorBidi" w:cstheme="majorBidi"/>
          <w:color w:val="000000" w:themeColor="text1"/>
          <w:sz w:val="24"/>
          <w:szCs w:val="24"/>
        </w:rPr>
        <w:t xml:space="preserve"> </w:t>
      </w:r>
      <w:r w:rsidR="003E6C57" w:rsidRPr="00EF2430">
        <w:rPr>
          <w:rFonts w:ascii="Times New Roman" w:hAnsi="Times New Roman" w:cs="Times New Roman"/>
          <w:iCs/>
          <w:color w:val="000000" w:themeColor="text1"/>
          <w:spacing w:val="-6"/>
          <w:sz w:val="24"/>
          <w:szCs w:val="24"/>
          <w:lang w:bidi="fa-IR"/>
        </w:rPr>
        <w:t xml:space="preserve">Inflammation, Lung, </w:t>
      </w:r>
      <w:r w:rsidR="003E6C57" w:rsidRPr="00EF2430">
        <w:rPr>
          <w:rFonts w:ascii="Times New Roman" w:hAnsi="Times New Roman" w:cs="Times New Roman"/>
          <w:iCs/>
          <w:color w:val="000000" w:themeColor="text1"/>
          <w:spacing w:val="-6"/>
          <w:sz w:val="24"/>
          <w:szCs w:val="24"/>
          <w:lang w:val="en" w:bidi="fa-IR"/>
        </w:rPr>
        <w:t xml:space="preserve">Phenols, Mice, </w:t>
      </w:r>
      <w:r w:rsidR="003E6C57" w:rsidRPr="00EF2430">
        <w:rPr>
          <w:rFonts w:ascii="Times New Roman" w:hAnsi="Times New Roman" w:cs="Times New Roman"/>
          <w:iCs/>
          <w:color w:val="000000" w:themeColor="text1"/>
          <w:spacing w:val="-6"/>
          <w:sz w:val="24"/>
          <w:szCs w:val="24"/>
          <w:lang w:bidi="fa-IR"/>
        </w:rPr>
        <w:t>Paraquat</w:t>
      </w:r>
      <w:r w:rsidR="00367E92" w:rsidRPr="00EF2430">
        <w:rPr>
          <w:rFonts w:ascii="Times New Roman" w:hAnsi="Times New Roman" w:cs="Times New Roman"/>
          <w:iCs/>
          <w:color w:val="000000" w:themeColor="text1"/>
          <w:spacing w:val="-6"/>
          <w:sz w:val="24"/>
          <w:szCs w:val="24"/>
          <w:lang w:bidi="fa-IR"/>
        </w:rPr>
        <w:t>.</w:t>
      </w:r>
    </w:p>
    <w:p w14:paraId="5B812E6F" w14:textId="10696AFC" w:rsidR="00D44C5F" w:rsidRPr="00EF2430" w:rsidRDefault="005A7422" w:rsidP="004766A1">
      <w:pPr>
        <w:tabs>
          <w:tab w:val="left" w:pos="7931"/>
        </w:tabs>
        <w:spacing w:after="0" w:line="240" w:lineRule="auto"/>
        <w:jc w:val="lowKashida"/>
        <w:rPr>
          <w:rFonts w:ascii="Times New Roman" w:hAnsi="Times New Roman" w:cs="Times New Roman"/>
          <w:iCs/>
          <w:color w:val="000000" w:themeColor="text1"/>
          <w:spacing w:val="-6"/>
          <w:sz w:val="24"/>
          <w:szCs w:val="24"/>
          <w:lang w:bidi="fa-IR"/>
        </w:rPr>
        <w:sectPr w:rsidR="00D44C5F" w:rsidRPr="00EF2430" w:rsidSect="00895470">
          <w:headerReference w:type="even" r:id="rId8"/>
          <w:headerReference w:type="default" r:id="rId9"/>
          <w:footerReference w:type="even" r:id="rId10"/>
          <w:footerReference w:type="default" r:id="rId11"/>
          <w:headerReference w:type="first" r:id="rId12"/>
          <w:footerReference w:type="first" r:id="rId13"/>
          <w:pgSz w:w="11907" w:h="16840" w:code="9"/>
          <w:pgMar w:top="1588" w:right="1134" w:bottom="1588" w:left="1134" w:header="680" w:footer="680" w:gutter="0"/>
          <w:pgNumType w:start="29" w:chapStyle="1"/>
          <w:cols w:space="720"/>
          <w:titlePg/>
          <w:docGrid w:linePitch="360"/>
        </w:sectPr>
      </w:pPr>
      <w:r>
        <w:rPr>
          <w:rFonts w:ascii="Times New Roman" w:eastAsia="Times New Roman" w:hAnsi="Times New Roman" w:cs="Times New Roman"/>
          <w:noProof/>
          <w:color w:val="000000" w:themeColor="text1"/>
          <w:sz w:val="24"/>
          <w:szCs w:val="24"/>
        </w:rPr>
        <w:pict w14:anchorId="33EBA74B">
          <v:rect id="_x0000_i1028" alt="" style="width:481.95pt;height:1.5pt;mso-width-percent:0;mso-height-percent:0;mso-width-percent:0;mso-height-percent:0" o:hralign="center" o:hrstd="t" o:hrnoshade="t" o:hr="t" fillcolor="#0f243e" stroked="f"/>
        </w:pict>
      </w:r>
    </w:p>
    <w:p w14:paraId="05DF4460" w14:textId="77777777" w:rsidR="004C3C3B" w:rsidRPr="00EF2430" w:rsidRDefault="004C3C3B" w:rsidP="00453D63">
      <w:pPr>
        <w:spacing w:before="240" w:line="240" w:lineRule="auto"/>
        <w:contextualSpacing/>
        <w:jc w:val="both"/>
        <w:outlineLvl w:val="0"/>
        <w:rPr>
          <w:rFonts w:ascii="Times New Roman" w:eastAsia="Times New Roman" w:hAnsi="Times New Roman" w:cs="Times New Roman"/>
          <w:bCs/>
          <w:color w:val="000000" w:themeColor="text1"/>
          <w:spacing w:val="-6"/>
        </w:rPr>
      </w:pPr>
    </w:p>
    <w:p w14:paraId="5AD12649" w14:textId="77777777" w:rsidR="006B1FAD" w:rsidRPr="00EF2430" w:rsidRDefault="00D44C5F" w:rsidP="00666D15">
      <w:pPr>
        <w:spacing w:after="0" w:line="240" w:lineRule="auto"/>
        <w:contextualSpacing/>
        <w:jc w:val="both"/>
        <w:outlineLvl w:val="0"/>
        <w:rPr>
          <w:rFonts w:ascii="Times New Roman" w:eastAsia="Times New Roman" w:hAnsi="Times New Roman" w:cs="Times New Roman"/>
          <w:b/>
          <w:color w:val="000000" w:themeColor="text1"/>
          <w:spacing w:val="-6"/>
          <w:sz w:val="28"/>
          <w:szCs w:val="28"/>
        </w:rPr>
      </w:pPr>
      <w:r w:rsidRPr="00EF2430">
        <w:rPr>
          <w:rFonts w:ascii="Times New Roman" w:eastAsia="Times New Roman" w:hAnsi="Times New Roman" w:cs="Times New Roman"/>
          <w:b/>
          <w:color w:val="000000" w:themeColor="text1"/>
          <w:spacing w:val="-6"/>
          <w:sz w:val="28"/>
          <w:szCs w:val="28"/>
        </w:rPr>
        <w:t>Introduction</w:t>
      </w:r>
    </w:p>
    <w:p w14:paraId="6A4484F0" w14:textId="30A969F1" w:rsidR="00791015"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pacing w:val="-2"/>
          <w:sz w:val="24"/>
          <w:szCs w:val="24"/>
          <w:lang w:val="en"/>
        </w:rPr>
      </w:pPr>
      <w:r w:rsidRPr="00EF2430">
        <w:rPr>
          <w:rFonts w:ascii="Times New Roman" w:hAnsi="Times New Roman" w:cs="Times New Roman"/>
          <w:color w:val="000000" w:themeColor="text1"/>
          <w:spacing w:val="-2"/>
          <w:sz w:val="24"/>
          <w:szCs w:val="24"/>
          <w:lang w:val="en"/>
        </w:rPr>
        <w:t xml:space="preserve">Paraquat (PQ) is one of the most common herbicides used for weed control in agriculture and has adverse effects on human health, particularly on the respiratory system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{"citationItems":[{"id":"ITEM-1","itemData":{"DOI":"10.1016/j.jhazmat.2021.125633","ISSN":"18733336","PMID":"33743382","abstract":"The immediate and the late effects of inhaled Paraquat (PQ) on systemic and lung inflammation and oxidative stress were investigated. Rats were exposed to saline (control group) and two doses of inhaled PQ (27 and 54 mg/m3) and studied variables were measured: 1) one day after the end of PQ exposure as “immediate condition”, 2) 16 days after the end of PQ exposure as “late condition”. Total and differential white blood cells (WBC) counts, lipid peroxidation and nitrite were increased but thiol, superoxide dismutase and catalase in the blood and BALF as well as methacholine EC50 was reduced in both conditions in the animals exposed to PQ compared to control groups (p &lt; 0. 05 to p &lt; 0.001). Most studied parameters in the immediate condition were significantly higher than the late condition (p &lt; 0.05 to p &lt; 0.001). Systemic and lung inflammation and oxidative stress due to inhaled PQ in both the immediate and the late conditions were shown. Although most measured parameters in the immediate condition were higher, all variables were significantly different with the control group even in late condition, indicating a long-term effect of inhaled PQ toxicity, which may help in a more effective treatment of PQ poising in the future.","author":[{"dropping-particle":"","family":"Amin","given":"Fatemeh","non-dropping-particle":"","parse-names":false,"suffix":""},{"dropping-particle":"","family":"Roohbakhsh","given":"Ali","non-dropping-particle":"","parse-names":false,"suffix":""},{"dropping-particle":"","family":"Memarzia","given":"Arghavan","non-dropping-particle":"","parse-names":false,"suffix":""},{"dropping-particle":"","family":"Kazerani","given":"Hamid Reza","non-dropping-particle":"","parse-names":false,"suffix":""},{"dropping-particle":"","family":"Boskabady","given":"Mohammad Hossein","non-dropping-particle":"","parse-names":false,"suffix":""}],"container-title":"Journal of Hazardous Materials","id":"ITEM-1","issued":{"date-parts":[["2021"]]},"page":"125633","publisher":"Elsevier","title":"Immediate and late systemic and lung effects of inhaled paraquat in rats","type":"article-journal","volume":"415"},"uris":["http://www.mendeley.com/documents/?uuid=fbb6789e-16c9-47ec-8191-37ca53a38b65"]}],"mendeley":{"formattedCitation":"(1)","plainTextFormattedCitation":"(1)","previouslyFormattedCitation":"(1)"},"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(1)</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w:t>
      </w:r>
      <w:r w:rsidRPr="00EF2430">
        <w:rPr>
          <w:rFonts w:ascii="Times New Roman" w:hAnsi="Times New Roman" w:cs="Times New Roman"/>
          <w:color w:val="000000" w:themeColor="text1"/>
          <w:spacing w:val="-2"/>
          <w:sz w:val="24"/>
          <w:szCs w:val="24"/>
          <w:lang w:val="en-GB"/>
        </w:rPr>
        <w:t xml:space="preserve"> </w:t>
      </w:r>
      <w:r w:rsidRPr="00EF2430">
        <w:rPr>
          <w:rFonts w:ascii="Times New Roman" w:hAnsi="Times New Roman" w:cs="Times New Roman"/>
          <w:color w:val="000000" w:themeColor="text1"/>
          <w:spacing w:val="-2"/>
          <w:sz w:val="24"/>
          <w:szCs w:val="24"/>
        </w:rPr>
        <w:t>It causes specific cellular damage through a nicotinamide adenine dinucleotide phosphate (NADPH)-dependent mechanism, leading to lipid peroxidation, mitochondrial dysfunction, and the overproduction of intracellular free radicals</w:t>
      </w:r>
      <w:r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pacing w:val="-2"/>
          <w:sz w:val="24"/>
          <w:szCs w:val="24"/>
        </w:rPr>
        <w:fldChar w:fldCharType="begin" w:fldLock="1"/>
      </w:r>
      <w:r w:rsidRPr="00EF2430">
        <w:rPr>
          <w:rFonts w:ascii="Times New Roman" w:hAnsi="Times New Roman" w:cs="Times New Roman"/>
          <w:color w:val="000000" w:themeColor="text1"/>
          <w:spacing w:val="-2"/>
          <w:sz w:val="24"/>
          <w:szCs w:val="24"/>
        </w:rPr>
        <w:instrText>ADDIN CSL_CITATION {"citationItems":[{"id":"ITEM-1","itemData":{"DOI":"10.3390/oxygen2020006","ISSN":"2673-9801","abstract":"Free radicals have acquired growing importance in the fields of biology and medicine. They are produced during many different endogenous and exogenous processes. Mitochondria are the main source of endogenous reactive oxygen species (ROS) produced at cell level. The overproduction of free radicals can damage macromolecules such as nucleic acids, proteins and lipids. This leads to tissue damage in various chronic and degenerative diseases. Antioxidants play a crucial role in the body’s defense against free radicals. This review concerns the main properties of free radicals, their sources and deleterious effects. It highlights the potential role of the dietary supplementation of antioxidants and discusses unsolved problems regarding antioxidant supplements in the prevention and therapy of diseases.","author":[{"dropping-particle":"","family":"Martemucci","given":"Giovanni","non-dropping-particle":"","parse-names":false,"suffix":""},{"dropping-particle":"","family":"Costagliola","given":"Ciro","non-dropping-particle":"","parse-names":false,"suffix":""},{"dropping-particle":"","family":"Mariano","given":"Michele","non-dropping-particle":"","parse-names":false,"suffix":""},{"dropping-particle":"","family":"D’andrea","given":"Luca","non-dropping-particle":"","parse-names":false,"suffix":""},{"dropping-particle":"","family":"Napolitano","given":"Pasquale","non-dropping-particle":"","parse-names":false,"suffix":""},{"dropping-particle":"","family":"D’Alessandro","given":"Angela Gabriella","non-dropping-particle":"","parse-names":false,"suffix":""}],"container-title":"Oxygen","id":"ITEM-1","issue":"2","issued":{"date-parts":[["2022"]]},"page":"48-78","publisher":"MDPI","title":"Free Radical Properties, Source and Targets, Antioxidant Consumption and Health","type":"article-journal","volume":"2"},"uris":["http://www.mendeley.com/documents/?uuid=fb6bf95b-66e0-4a6f-b07a-67196c459b52"]}],"mendeley":{"formattedCitation":"(2)","plainTextFormattedCitation":"(2)","previouslyFormattedCitation":"(2)"},"properties":{"noteIndex":0},"schema":"https://github.com/citation-style-language/schema/raw/master/csl-citation.json"}</w:instrText>
      </w:r>
      <w:r w:rsidRPr="00EF2430">
        <w:rPr>
          <w:rFonts w:ascii="Times New Roman" w:hAnsi="Times New Roman" w:cs="Times New Roman"/>
          <w:color w:val="000000" w:themeColor="text1"/>
          <w:spacing w:val="-2"/>
          <w:sz w:val="24"/>
          <w:szCs w:val="24"/>
        </w:rPr>
        <w:fldChar w:fldCharType="separate"/>
      </w:r>
      <w:r w:rsidRPr="00EF2430">
        <w:rPr>
          <w:rFonts w:ascii="Times New Roman" w:hAnsi="Times New Roman" w:cs="Times New Roman"/>
          <w:color w:val="000000" w:themeColor="text1"/>
          <w:spacing w:val="-2"/>
          <w:sz w:val="24"/>
          <w:szCs w:val="24"/>
        </w:rPr>
        <w:t>(2)</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rPr>
        <w:t>.</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pacing w:val="-2"/>
          <w:sz w:val="24"/>
          <w:szCs w:val="24"/>
        </w:rPr>
        <w:t>L</w:t>
      </w:r>
      <w:proofErr w:type="spellStart"/>
      <w:r w:rsidRPr="00EF2430">
        <w:rPr>
          <w:rFonts w:ascii="Times New Roman" w:hAnsi="Times New Roman" w:cs="Times New Roman"/>
          <w:color w:val="000000" w:themeColor="text1"/>
          <w:spacing w:val="-2"/>
          <w:sz w:val="24"/>
          <w:szCs w:val="24"/>
          <w:lang w:val="en"/>
        </w:rPr>
        <w:t>ung</w:t>
      </w:r>
      <w:proofErr w:type="spellEnd"/>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pacing w:val="-2"/>
          <w:sz w:val="24"/>
          <w:szCs w:val="24"/>
          <w:lang w:val="en"/>
        </w:rPr>
        <w:t>damage</w:t>
      </w:r>
      <w:r w:rsidR="00791015" w:rsidRPr="00EF2430">
        <w:rPr>
          <w:rFonts w:ascii="Times New Roman" w:hAnsi="Times New Roman" w:cs="Times New Roman"/>
          <w:color w:val="000000" w:themeColor="text1"/>
          <w:spacing w:val="120"/>
          <w:sz w:val="24"/>
          <w:szCs w:val="24"/>
        </w:rPr>
        <w:t xml:space="preserve"> </w:t>
      </w:r>
      <w:r w:rsidRPr="00EF2430">
        <w:rPr>
          <w:rFonts w:ascii="Times New Roman" w:hAnsi="Times New Roman" w:cs="Times New Roman"/>
          <w:color w:val="000000" w:themeColor="text1"/>
          <w:spacing w:val="-2"/>
          <w:sz w:val="24"/>
          <w:szCs w:val="24"/>
          <w:lang w:val="en"/>
        </w:rPr>
        <w:t>caused by</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pacing w:val="-2"/>
          <w:sz w:val="24"/>
          <w:szCs w:val="24"/>
          <w:lang w:val="en"/>
        </w:rPr>
        <w:t>PQ</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pacing w:val="-2"/>
          <w:sz w:val="24"/>
          <w:szCs w:val="24"/>
          <w:lang w:val="en"/>
        </w:rPr>
        <w:t xml:space="preserve">is </w:t>
      </w:r>
    </w:p>
    <w:p w14:paraId="3D122393"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pacing w:val="-2"/>
          <w:sz w:val="24"/>
          <w:szCs w:val="24"/>
          <w:lang w:val="en"/>
        </w:rPr>
      </w:pPr>
    </w:p>
    <w:p w14:paraId="1A13BEFD"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pacing w:val="-2"/>
          <w:sz w:val="24"/>
          <w:szCs w:val="24"/>
          <w:lang w:val="en"/>
        </w:rPr>
      </w:pPr>
    </w:p>
    <w:p w14:paraId="281A2FCC" w14:textId="7BEBA487"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pacing w:val="-2"/>
          <w:sz w:val="24"/>
          <w:szCs w:val="24"/>
          <w:lang w:val="en"/>
        </w:rPr>
      </w:pPr>
      <w:r w:rsidRPr="00EF2430">
        <w:rPr>
          <w:rFonts w:ascii="Times New Roman" w:hAnsi="Times New Roman" w:cs="Times New Roman"/>
          <w:color w:val="000000" w:themeColor="text1"/>
          <w:spacing w:val="-2"/>
          <w:sz w:val="24"/>
          <w:szCs w:val="24"/>
          <w:lang w:val="en"/>
        </w:rPr>
        <w:t xml:space="preserve">marked by a destructive phase occurring within days, which results in damaged cellular structures, pulmonary hemorrhage, fluid accumulation, and inflammatory responses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{"citationItems":[{"id":"ITEM-1","itemData":{"DOI":"10.1080/10408440701669959","ISSN":"10408444","PMID":"18161502","abstract":"Paraquat dichloride (methyl viologen; PQ) is an effective and widely used herbicide that has a proven safety record when appropriately applied to eliminate weeds. However, over the last decades, there have been numerous fatalities, mainly caused by accidental or voluntary ingestion. PQ poisoning is an extremely frustrating condition to manage clinically, due to the elevated morbidity and mortality observed so far and due to the lack of effective treatments to be used in humans. PQ mainly accumulates in the lung (pulmonary concentrations can be 6 to 10 times higher than those in the plasma), where it is retained even when blood levels start to decrease. The pulmonary effects can be explained by the participation of the polyamine transport system abundantly expressed in the membrane of alveolar cells type I, II, and Clara cells. Further downstream at the toxicodynamic level, the main molecular mechanism of PQ toxicity is based on redox cycling and intracellular oxidative stress generation. With this review we aimed to collect and describe the most pertinent and significant findings published in established scientific publications since the discovery of PQ, focusing on the most recent developments related to PQ lung toxicity and their relevance to the treatment of human poisonings. Considerable space is also dedicated to techniques for prognosis prediction, since these could allow development of rigorous clinical protocols that may produce comparable data for the evaluation of proposed therapies. Copyright © 2008 Informa Healthcare USA, Inc.","author":[{"dropping-particle":"","family":"Dinis-Oliveira","given":"R. J.","non-dropping-particle":"","parse-names":false,"suffix":""},{"dropping-particle":"","family":"Duarte","given":"J. A.","non-dropping-particle":"","parse-names":false,"suffix":""},{"dropping-particle":"","family":"Sánchez-Navarro","given":"A.","non-dropping-particle":"","parse-names":false,"suffix":""},{"dropping-particle":"","family":"Remião","given":"F.","non-dropping-particle":"","parse-names":false,"suffix":""},{"dropping-particle":"","family":"Bastos","given":"M. L.","non-dropping-particle":"","parse-names":false,"suffix":""},{"dropping-particle":"","family":"Carvalho","given":"F.","non-dropping-particle":"","parse-names":false,"suffix":""}],"container-title":"Critical Reviews in Toxicology","id":"ITEM-1","issue":"1","issued":{"date-parts":[["2008"]]},"page":"13-71","publisher":"Taylor &amp; Francis","title":"Paraquat poisonings: Mechanisms of lung toxicity, clinical features, and treatment","type":"article-journal","volume":"38"},"uris":["http://www.mendeley.com/documents/?uuid=73345677-e68d-4149-8920-51e24ab57d3f"]}],"mendeley":{"formattedCitation":"(3)","plainTextFormattedCitation":"(3)","previouslyFormattedCitation":"(3)"},"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(3)</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 xml:space="preserve">. The final stage occurs approximately 14–21 days after PQ exposure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{"citationItems":[{"id":"ITEM-1","itemData":{"DOI":"10.1165/rcmb.2005-0062TR","ISSN":"10441549","PMID":"15964990","abstract":"Substantial challenges remain in our understanding of fibrotic lung diseases. Nowhere is this more true than in the elucidation and verification of the pathogenetic basis upon which they develop. Scientific progress, most recently in the field of experimental therapy, has relied closely on interpreting data derived from animal modeling. Such models are used to identify the cellular interactions and molecular pathways involved in lung tissue repair and fibrosis. Over the coming years, the significance of new discoveries will continue to be evaluated using the in vivo analysis of animal models substituting for patients with actual pulmonary fibrosis. The commonest strategy to induce experimental pulmonary fibrosis is by directly administering a profibrotic agent to either wild-type animals or those that bear a specific genetic modification. The creation of new models has been greatly enhanced by the availability of stem cell lines and methods for introducing genetic mutations into these cells. Despite an increasing choice of models, there are still good reasons to continue adapting and using one of its earliest examples, the bleomycin model, in post-genomic pulmonary fibrosis research. A brief review of the exacting requirements of such research will place the strengths of this particular model in perspective.","author":[{"dropping-particle":"","family":"Chua","given":"Felix","non-dropping-particle":"","parse-names":false,"suffix":""},{"dropping-particle":"","family":"Gauldie","given":"Jack","non-dropping-particle":"","parse-names":false,"suffix":""},{"dropping-particle":"","family":"Laurent","given":"Geoffrey J.","non-dropping-particle":"","parse-names":false,"suffix":""}],"container-title":"American Journal of Respiratory Cell and Molecular Biology","id":"ITEM-1","issue":"1","issued":{"date-parts":[["2005"]]},"page":"9-13","publisher":"American Thoracic Society","title":"Pulmonary fibrosis: Searching for model answers","type":"article-journal","volume":"33"},"uris":["http://www.mendeley.com/documents/?uuid=6ca97d6c-b38d-4c86-ae75-6e608eebd944"]}],"mendeley":{"formattedCitation":"(4)","plainTextFormattedCitation":"(4)","previouslyFormattedCitation":"(4)"},"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(4)</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 xml:space="preserve">. During this phase, the inflammatory processes produce excessive extracellular matrix components, such as collagen, in the lung parenchyma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{"citationItems":[{"id":"ITEM-1","itemData":{"author":[{"dropping-particle":"","family":"Rezaie","given":"Faezeh","non-dropping-particle":"","parse-names":false,"suffix":""},{"dropping-particle":"","family":"Khosroshahi","given":"Aboulfazl Ghafouri","non-dropping-particle":"","parse-names":false,"suffix":""},{"dropping-particle":"","family":"Larki-Harchegani","given":"Amir","non-dropping-particle":"","parse-names":false,"suffix":""},{"dropping-particle":"","family":"Nourian","given":"Alireza","non-dropping-particle":"","parse-names":false,"suffix":""},{"dropping-particle":"","family":"Khosravi","given":"Hossein","non-dropping-particle":"","parse-names":false,"suffix":""}],"container-title":"Reports of Biochemistry &amp; Molecular Biology","id":"ITEM-1","issue":"2","issued":{"date-parts":[["2024"]]},"page":"231","title":"Hydroalcoholic Sumac Extract as a Protective Agent Against X-Ray-Induced Pulmonary Fibrosis","type":"article-journal","volume":"13"},"uris":["http://www.mendeley.com/documents/?uuid=52d9ed59-1a5f-4121-93c1-c9e34e99e90d"]}],"mendeley":{"formattedCitation":"(5)","plainTextFormattedCitation":"(5)","previouslyFormattedCitation":"(5)"},"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(5)</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 xml:space="preserve">. The second phase signifies chronic and irreversible </w:t>
      </w:r>
      <w:r w:rsidRPr="00EF2430">
        <w:rPr>
          <w:rFonts w:ascii="Times New Roman" w:hAnsi="Times New Roman" w:cs="Times New Roman"/>
          <w:color w:val="000000" w:themeColor="text1"/>
          <w:spacing w:val="-2"/>
          <w:sz w:val="24"/>
          <w:szCs w:val="24"/>
          <w:lang w:val="en"/>
        </w:rPr>
        <w:lastRenderedPageBreak/>
        <w:t xml:space="preserve">changes in the lungs following PQ-induced damage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{"citationItems":[{"id":"ITEM-1","itemData":{"DOI":"10.1016/j.intimp.2010.10.012","ISSN":"15675769","PMID":"21040696","abstract":"Edaravone (MCI-186) is a potent free radical scavenger used clinically to treat acute brain infarction. Its antioxidant ability maybe also do favor to protect against lung injury. In this study, we evaluated whether edaravone could protect against lung injury and pulmonary fibrosis in paraquat-treated rats. Rats were divided into four groups (Control group, Edaravone group, Paraquat intoxication group and Paraquat + Edaravone group) and sacrificed on day 1, 3, 5, 7, 14 and 28. Lung tissue and bronchoalveolar lavage fluid (BALF) were collected and analyzed biochemically and histologically. Paraquat intoxication significantly increased malondialdehyde (MDA), hydroproline, interleukin-6 (IL-6) and tumor necrosis factor-α (TNF-α) levels in lung tissue and BALF, and also increased mRNA expression of transforming growth factor-β1 (TGF-β1), matrix metalloproteinase-2 (MMP-2), and tissue inhibitor of metalloproteinase-1 (TIMP-1) in lung tissue, but decreased SOD and GSH-PX activity in lung tissue and BALF. Histological examination of paraquat-treated rats showed acute injury with interstitial edema and widespread inflammatory cell infiltration in the alveolar space and septum, as well as fibrosis. After edaravone treatment, levels of MDA, IL-6, TNF-α and hydroproline decreased, but SOD and GSH-PX activity in lung tissue and BALF increased. In addition, the mRNA expression of TGF-β1, MMP-2, and TIMP-1 down-regulated. Histological examination showed that edaravone decreased interstitial edema, inflammatory cell infiltration and prevented the process of pulmonary fibrosis. © 2010 Elsevier B.V. All rights reserved.","author":[{"dropping-particle":"","family":"Zhi","given":"Qiaoming","non-dropping-particle":"","parse-names":false,"suffix":""},{"dropping-particle":"","family":"Sun","given":"Haichen","non-dropping-particle":"","parse-names":false,"suffix":""},{"dropping-particle":"","family":"Qian","given":"Xiaoming","non-dropping-particle":"","parse-names":false,"suffix":""},{"dropping-particle":"","family":"Yang","given":"Litao","non-dropping-particle":"","parse-names":false,"suffix":""}],"container-title":"International Immunopharmacology","id":"ITEM-1","issue":"1","issued":{"date-parts":[["2011"]]},"page":"96-102","publisher":"Elsevier","title":"Edaravone, a novel antidote against lung injury and pulmonary fibrosis induced by paraquat?","type":"article-journal","volume":"11"},"uris":["http://www.mendeley.com/documents/?uuid=47c1cc20-420a-4287-8412-c2ba5c393ff9"]}],"mendeley":{"formattedCitation":"(6)","plainTextFormattedCitation":"(6)","previouslyFormattedCitation":"(6)"},"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(6)</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w:t>
      </w:r>
      <w:r w:rsidRPr="00EF2430">
        <w:rPr>
          <w:rFonts w:ascii="Times New Roman" w:hAnsi="Times New Roman" w:cs="Times New Roman" w:hint="cs"/>
          <w:color w:val="000000" w:themeColor="text1"/>
          <w:spacing w:val="-2"/>
          <w:sz w:val="24"/>
          <w:szCs w:val="24"/>
          <w:rtl/>
        </w:rPr>
        <w:t xml:space="preserve"> </w:t>
      </w:r>
      <w:r w:rsidRPr="00EF2430">
        <w:rPr>
          <w:rFonts w:ascii="Times New Roman" w:hAnsi="Times New Roman" w:cs="Times New Roman"/>
          <w:color w:val="000000" w:themeColor="text1"/>
          <w:spacing w:val="-2"/>
          <w:sz w:val="24"/>
          <w:szCs w:val="24"/>
          <w:lang w:val="en"/>
        </w:rPr>
        <w:t xml:space="preserve">Currently, there is no effective treatment for PQ poisoning, underscoring the urgent need for further research in this area. Researchers are investigating strategies to alleviate the respiratory symptoms induced by PQ and improve patient outcomes. These strategies focus on developing innovative treatments to reduce PQ toxicity, including anti-inflammatory agents, antioxidants, and compounds that promote lung repair </w:t>
      </w:r>
      <w:r w:rsidRPr="00EF2430">
        <w:rPr>
          <w:rFonts w:ascii="Times New Roman" w:hAnsi="Times New Roman" w:cs="Times New Roman"/>
          <w:color w:val="000000" w:themeColor="text1"/>
          <w:spacing w:val="-2"/>
          <w:sz w:val="24"/>
          <w:szCs w:val="24"/>
        </w:rPr>
        <w:t>(5, 6).</w:t>
      </w:r>
    </w:p>
    <w:p w14:paraId="0FA8622E" w14:textId="62E8EC5D" w:rsidR="003E6C57" w:rsidRPr="00EF2430" w:rsidRDefault="003E6C57" w:rsidP="00374B39">
      <w:pPr>
        <w:tabs>
          <w:tab w:val="left" w:pos="284"/>
        </w:tabs>
        <w:spacing w:after="0" w:line="240" w:lineRule="auto"/>
        <w:ind w:firstLine="284"/>
        <w:contextualSpacing/>
        <w:jc w:val="both"/>
        <w:outlineLvl w:val="0"/>
        <w:rPr>
          <w:rFonts w:ascii="Times New Roman" w:hAnsi="Times New Roman" w:cs="Times New Roman"/>
          <w:color w:val="000000" w:themeColor="text1"/>
          <w:spacing w:val="-2"/>
          <w:sz w:val="24"/>
          <w:szCs w:val="24"/>
          <w:lang w:val="en"/>
        </w:rPr>
      </w:pPr>
      <w:proofErr w:type="spellStart"/>
      <w:r w:rsidRPr="00EF2430">
        <w:rPr>
          <w:rFonts w:ascii="Times New Roman" w:hAnsi="Times New Roman" w:cs="Times New Roman"/>
          <w:color w:val="000000" w:themeColor="text1"/>
          <w:spacing w:val="-2"/>
          <w:sz w:val="24"/>
          <w:szCs w:val="24"/>
          <w:lang w:val="en"/>
        </w:rPr>
        <w:t>Rosmarinic</w:t>
      </w:r>
      <w:proofErr w:type="spellEnd"/>
      <w:r w:rsidRPr="00EF2430">
        <w:rPr>
          <w:rFonts w:ascii="Times New Roman" w:hAnsi="Times New Roman" w:cs="Times New Roman"/>
          <w:color w:val="000000" w:themeColor="text1"/>
          <w:spacing w:val="-2"/>
          <w:sz w:val="24"/>
          <w:szCs w:val="24"/>
          <w:lang w:val="en"/>
        </w:rPr>
        <w:t xml:space="preserve"> acid (RA) is a phenolic compound composed of a 3,4-dihydroxy lactic acid caffeic acid ester, first isolated from </w:t>
      </w:r>
      <w:r w:rsidRPr="00EF2430">
        <w:rPr>
          <w:rFonts w:ascii="Times New Roman" w:hAnsi="Times New Roman" w:cs="Times New Roman"/>
          <w:i/>
          <w:iCs/>
          <w:color w:val="000000" w:themeColor="text1"/>
          <w:spacing w:val="-2"/>
          <w:sz w:val="24"/>
          <w:szCs w:val="24"/>
          <w:lang w:val="en"/>
        </w:rPr>
        <w:t>Rosmarinus officinalis</w:t>
      </w:r>
      <w:r w:rsidRPr="00EF2430">
        <w:rPr>
          <w:rFonts w:ascii="Times New Roman" w:hAnsi="Times New Roman" w:cs="Times New Roman"/>
          <w:color w:val="000000" w:themeColor="text1"/>
          <w:spacing w:val="-2"/>
          <w:sz w:val="24"/>
          <w:szCs w:val="24"/>
          <w:lang w:val="en"/>
        </w:rPr>
        <w:t xml:space="preserve"> L., a plant belonging to the </w:t>
      </w:r>
      <w:proofErr w:type="spellStart"/>
      <w:r w:rsidRPr="00EF2430">
        <w:rPr>
          <w:rFonts w:ascii="Times New Roman" w:hAnsi="Times New Roman" w:cs="Times New Roman"/>
          <w:color w:val="000000" w:themeColor="text1"/>
          <w:spacing w:val="-2"/>
          <w:sz w:val="24"/>
          <w:szCs w:val="24"/>
          <w:lang w:val="en"/>
        </w:rPr>
        <w:t>Lamiaceae</w:t>
      </w:r>
      <w:proofErr w:type="spellEnd"/>
      <w:r w:rsidRPr="00EF2430">
        <w:rPr>
          <w:rFonts w:ascii="Times New Roman" w:hAnsi="Times New Roman" w:cs="Times New Roman"/>
          <w:color w:val="000000" w:themeColor="text1"/>
          <w:spacing w:val="-2"/>
          <w:sz w:val="24"/>
          <w:szCs w:val="24"/>
          <w:lang w:val="en"/>
        </w:rPr>
        <w:t xml:space="preserve"> family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{"citationItems":[{"id":"ITEM-1","itemData":{"DOI":"10.1016/B978-0-443-23763-8.00006-3","ISBN":"9780443237638","abstract":"Affective disorders such as major depressive disorder (MDD) and bipolar mood disorder (BMD), among others, are highly prevalent worldwide. They are disorders responsible for a high burden of disability and suffering. Among other pathophysiological mechanisms, redox imbalance seems to be a critical factor in affective disorders. Phenolic compounds comprise a set of bioactive constituents of medicinal plants, which have been widely studied for their antioxidant actions and therapeutic potential in affective disorders, among other psychiatric disorders. This chapter discusses oxidative stress in impaired neural function and affective disorders. Specifically, MDD and BMD and the interaction between oxidative stress and other pathophysiological mechanisms such as neuroinflammation, neurotransmission, and neuronal signaling are addressed. Among the phenolic compounds with therapeutic potential as antioxidants and antidepressants, isoliquiritin and caffeic, chlorogenic, rosmarinic, ferulic, and syringic acids stand out, in addition to the antioxidant function and antidepressant potential of curcumin.","author":[{"dropping-particle":"","family":"Bertollo","given":"Amanda Gollo","non-dropping-particle":"","parse-names":false,"suffix":""},{"dropping-particle":"","family":"Silva","given":"Gilnei Bruno","non-dropping-particle":"da","parse-names":false,"suffix":""},{"dropping-particle":"","family":"Cunha","given":"Israel Cordeiro Eller","non-dropping-particle":"da","parse-names":false,"suffix":""},{"dropping-particle":"","family":"Bagatini","given":"Margarete Dulce","non-dropping-particle":"","parse-names":false,"suffix":""},{"dropping-particle":"","family":"Ignácio","given":"Zuleide Maria","non-dropping-particle":"","parse-names":false,"suffix":""}],"container-title":"Natural Molecules in Neuroprotection and Neurotoxicity","id":"ITEM-1","issued":{"date-parts":[["2024"]]},"page":"121-145","publisher":"Elsevier","title":"Redox impairment in affective disorders and therapeutic potential of phenolic bioactive compounds","type":"chapter"},"uris":["http://www.mendeley.com/documents/?uuid=41d26d40-e25b-4c12-bdcc-cafcb3214447"]}],"mendeley":{"formattedCitation":"(7)","plainTextFormattedCitation":"(7)","previouslyFormattedCitation":"(7)"},"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(7)</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 xml:space="preserve">. It exhibits several biological activities, including antioxidant, anti-inflammatory, antimutagenic, anti-apoptotic, antibacterial, and antiviral properties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{"citationItems":[{"id":"ITEM-1","itemData":{"DOI":"10.1016/j.biopha.2022.113384","ISSN":"19506007","PMID":"35820317","abstract":"Colon cancer is the third most predominant cancer caused by genetic, environmental and nutritional factors. Plant-based compounds are very well known to regress colon cancer in many ways, like delaying tumor growth, managing chemotherapy and radiation therapy side-effects, and working at the molecular levels. Medicinal plants contain many bioactive phytochemicals such as flavonoids, polyphenol compounds, caffeic acid, catechins, saponins, polysaccharides, triterpenoids, alkaloids, glycosides, phenols, quercetin, luteolin, kaempferol and luteolin glycosides, carnosic acid, oleanolic acid, rosmarinic acid, emodin, and eugenol and anthricin. These bioactive compounds can reduce tumor cell proliferation via several mechanisms, such as blocking cell cycle checkpoints and promoting apoptosis through activating initiator and executioner caspase. Traditional medicines have been used globally to treat cancers because of their anti-cancer effects, antioxidant properties, anti-inflammatory properties, anti-mutagenic effects, and anti-angiogenic effects. In addition, these medicines effectively suppress early and intermediate stages of carcinogenesis when administered in their active and pure form. However, traditional medicine is not very popular due to some critical challenges. These include poor solubility and absorption of these compounds, intellectual property-related issues, involvement of drug synergism, absence of drug-likeness, and unsure protocols for their extraction from the plant source. Using bioactive compounds in colon cancer has equal advantages and limitations. This review highlights the benefits and challenges of using bioactive compounds derived from plants for colon cancer. We have also discussed using these compounds to target cancer stem cell self-renewal, its effects on cancer cell metabolism, safety parameters, easy modulation, and their bioavailability.","author":[{"dropping-particle":"","family":"Esmeeta","given":"Akanksha","non-dropping-particle":"","parse-names":false,"suffix":""},{"dropping-particle":"","family":"Adhikary","given":"Subhamay","non-dropping-particle":"","parse-names":false,"suffix":""},{"dropping-particle":"","family":"Dharshnaa","given":"V.","non-dropping-particle":"","parse-names":false,"suffix":""},{"dropping-particle":"","family":"Swarnamughi","given":"P.","non-dropping-particle":"","parse-names":false,"suffix":""},{"dropping-particle":"","family":"Ummul Maqsummiya","given":"Z.","non-dropping-particle":"","parse-names":false,"suffix":""},{"dropping-particle":"","family":"Banerjee","given":"Antara","non-dropping-particle":"","parse-names":false,"suffix":""},{"dropping-particle":"","family":"Pathak","given":"Surajit","non-dropping-particle":"","parse-names":false,"suffix":""},{"dropping-particle":"","family":"Duttaroy","given":"Asim K.","non-dropping-particle":"","parse-names":false,"suffix":""}],"container-title":"Biomedicine and Pharmacotherapy","id":"ITEM-1","issued":{"date-parts":[["2022"]]},"page":"113384","publisher":"Elsevier","title":"Plant-derived bioactive compounds in colon cancer treatment: An updated review","type":"article-journal","volume":"153"},"uris":["http://www.mendeley.com/documents/?uuid=8cb9369a-48ec-439b-bfbc-99fb58884d0d"]},{"id":"ITEM-2","itemData":{"ISSN":"0951-418X","author":[{"dropping-particle":"","family":"Alavi","given":"Mohaddeseh Sadat","non-dropping-particle":"","parse-names":false,"suffix":""},{"dropping-particle":"","family":"Fanoudi","given":"Sahar","non-dropping-particle":"","parse-names":false,"suffix":""},{"dropping-particle":"","family":"Ghasemzadeh Rahbardar","given":"Mahboobeh","non-dropping-particle":"","parse-names":false,"suffix":""},{"dropping-particle":"","family":"Mehri","given":"Soghra","non-dropping-particle":"","parse-names":false,"suffix":""},{"dropping-particle":"","family":"Hosseinzadeh","given":"Hossein","non-dropping-particle":"","parse-names":false,"suffix":""}],"container-title":"Phytotherapy Research","id":"ITEM-2","issue":"3","issued":{"date-parts":[["2021"]]},"page":"1313-1328","publisher":"Wiley Online Library","title":"An updated review of protective effects of rosemary and its active constituents against natural and chemical toxicities","type":"article-journal","volume":"35"},"uris":["http://www.mendeley.com/documents/?uuid=927dafa8-6271-4f20-8959-4e26ba491fa5"]}],"mendeley":{"formattedCitation":"(8,9)","plainTextFormattedCitation":"(8,9)","previouslyFormattedCitation":"(8,9)"},"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(8,9)</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 xml:space="preserve">. </w:t>
      </w:r>
      <w:proofErr w:type="spellStart"/>
      <w:r w:rsidRPr="00EF2430">
        <w:rPr>
          <w:rFonts w:ascii="Times New Roman" w:hAnsi="Times New Roman" w:cs="Times New Roman"/>
          <w:color w:val="000000" w:themeColor="text1"/>
          <w:spacing w:val="-2"/>
          <w:sz w:val="24"/>
          <w:szCs w:val="24"/>
          <w:lang w:val="en"/>
        </w:rPr>
        <w:t>Rosmarinic</w:t>
      </w:r>
      <w:proofErr w:type="spellEnd"/>
      <w:r w:rsidRPr="00EF2430">
        <w:rPr>
          <w:rFonts w:ascii="Times New Roman" w:hAnsi="Times New Roman" w:cs="Times New Roman"/>
          <w:color w:val="000000" w:themeColor="text1"/>
          <w:spacing w:val="-2"/>
          <w:sz w:val="24"/>
          <w:szCs w:val="24"/>
          <w:lang w:val="en"/>
        </w:rPr>
        <w:t xml:space="preserve"> acid (RA) attenuates reactive oxygen species production by inhibiting caspase-3 activity, thereby reducing mitochondrial outer membrane permeability alterations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{"citationItems":[{"id":"ITEM-1","itemData":{"DOI":"10.3390/app9153139","ISSN":"20763417","abstract":"Naturally occurring food-derived active ingredients have received huge attention for their chemopreventive and chemotherapy capabilities in several diseases. Rosmarinic acid (RA) is a caffeic acid ester and a naturally-occurring phenolic compound in a number of plants belonging to the Lamiaceae family, such as Rosmarinus officinalis (rosemary) from which it was formerly isolated. RA intervenes in carcinogenesis through different ways, including in tumor cell proliferation, apoptosis, metastasis, and inflammation. On the other hand, it also exerts powerful antimicrobial, anti-inflammatory, antioxidant and even antidepressant, anti-aging effects. The present review aims to provide an overview on anticancer activities of RA and to deliberate its therapeutic potential against a wide variety of diseases. Given the current evidence, RA may be considered as part of the daily diet in the treatment of several diseases, with pre-determined doses avoiding cytotoxicity.","author":[{"dropping-particle":"","family":"Nadeem","given":"Muhammad","non-dropping-particle":"","parse-names":false,"suffix":""},{"dropping-particle":"","family":"Imran","given":"Muhammad","non-dropping-particle":"","parse-names":false,"suffix":""},{"dropping-particle":"","family":"Gondal","given":"Tanweer Aslam","non-dropping-particle":"","parse-names":false,"suffix":""},{"dropping-particle":"","family":"Imran","given":"Ali","non-dropping-particle":"","parse-names":false,"suffix":""},{"dropping-particle":"","family":"Shahbaz","given":"Muhammad","non-dropping-particle":"","parse-names":false,"suffix":""},{"dropping-particle":"","family":"Amir","given":"Rai Muhammad","non-dropping-particle":"","parse-names":false,"suffix":""},{"dropping-particle":"","family":"Sajid","given":"Muhammad Wasim","non-dropping-particle":"","parse-names":false,"suffix":""},{"dropping-particle":"","family":"Qaisrani","given":"Tahira Batool","non-dropping-particle":"","parse-names":false,"suffix":""},{"dropping-particle":"","family":"Atif","given":"Muhammad","non-dropping-particle":"","parse-names":false,"suffix":""},{"dropping-particle":"","family":"Hussain","given":"Ghulam","non-dropping-particle":"","parse-names":false,"suffix":""},{"dropping-particle":"","family":"Salehi","given":"Bahare","non-dropping-particle":"","parse-names":false,"suffix":""},{"dropping-particle":"","family":"Ostrander","given":"Elise Adrian","non-dropping-particle":"","parse-names":false,"suffix":""},{"dropping-particle":"","family":"Martorell","given":"Miquel","non-dropping-particle":"","parse-names":false,"suffix":""},{"dropping-particle":"","family":"Sharifi-Rad","given":"Javad","non-dropping-particle":"","parse-names":false,"suffix":""},{"dropping-particle":"","family":"Cho","given":"William C.","non-dropping-particle":"","parse-names":false,"suffix":""},{"dropping-particle":"","family":"Martins","given":"Natália","non-dropping-particle":"","parse-names":false,"suffix":""}],"container-title":"Applied Sciences (Switzerland)","id":"ITEM-1","issue":"15","issued":{"date-parts":[["2019"]]},"page":"3139","publisher":"MDPI","title":"Therapeutic potential of rosmarinic acid: A comprehensive review","type":"article-journal","volume":"9"},"uris":["http://www.mendeley.com/documents/?uuid=d8b0089d-698f-4fe0-a6b2-12e225fb5522"]}],"mendeley":{"formattedCitation":"(10)","plainTextFormattedCitation":"(10)","previouslyFormattedCitation":"(10)"},"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(10)</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 xml:space="preserve">. It exerts anti-inflammatory effects and reduces the activity of inflammatory factors such as tumor necrosis factor-alpha (TNF-α), interleukin-1 beta (IL-1β), and </w:t>
      </w:r>
      <w:proofErr w:type="spellStart"/>
      <w:r w:rsidRPr="00EF2430">
        <w:rPr>
          <w:rFonts w:ascii="Times New Roman" w:hAnsi="Times New Roman" w:cs="Times New Roman"/>
          <w:color w:val="000000" w:themeColor="text1"/>
          <w:spacing w:val="-2"/>
          <w:sz w:val="24"/>
          <w:szCs w:val="24"/>
          <w:lang w:val="en"/>
        </w:rPr>
        <w:t>i</w:t>
      </w:r>
      <w:proofErr w:type="spellEnd"/>
      <w:r w:rsidRPr="00EF2430">
        <w:rPr>
          <w:rFonts w:ascii="Times New Roman" w:hAnsi="Times New Roman" w:cs="Times New Roman"/>
          <w:color w:val="000000" w:themeColor="text1"/>
          <w:spacing w:val="-2"/>
          <w:sz w:val="24"/>
          <w:szCs w:val="24"/>
        </w:rPr>
        <w:t>nterleukin-6 (IL-6)</w:t>
      </w:r>
      <w:r w:rsidRPr="00EF2430">
        <w:rPr>
          <w:rFonts w:ascii="Times New Roman" w:hAnsi="Times New Roman" w:cs="Times New Roman"/>
          <w:color w:val="000000" w:themeColor="text1"/>
          <w:spacing w:val="-2"/>
          <w:sz w:val="24"/>
          <w:szCs w:val="24"/>
          <w:lang w:val="en"/>
        </w:rPr>
        <w:t xml:space="preserve">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{"citationItems":[{"id":"ITEM-1","itemData":{"DOI":"10.1007/s10753-017-0728-9","ISSN":"15732576","PMID":"29318480","abstract":"The excessive activation of microglia plays a key role in the pathogenesis of neurodegenerative diseases. The neuroprotective properties of rosmarinic acid have been reported in a variety of disease models both in vitro and in vivo; however, the mechanism underlying its anti-neuroinflammatory activity has not been clearly elucidated. In the present study, we evaluated the anti-inflammatory effects of rosmarinic acid in conditions of neuroinflammatory injury in vitro and in vivo. The results indicated that rosmarinic acid reduced the expression of CD11b, a marker of microglia and macrophages, in the brain and dramatically inhibited the levels of inflammatory cytokines and mediators, such as TNFα, IL-6, IL-1β, COX-2, and iNOS, in a dose-dependent manner both in vitro and in vivo. Consistent with these results, the expression levels of TLR4 and CD14 and the phosphorylation of JNK were also reduced. Further study showed that rosmarinic acid suppresses the activation of the NF-κB pathway and NLRP3 inflammasome, which may contribute to its anti-inflammatory effects. These results suggest that rosmarinic acid significantly reduced TLR4 and CD14 expression and NF-κB and NLRP3 inflammasome activation, which is involved in anti-neuroinflammation.","author":[{"dropping-particle":"","family":"Wei","given":"Yicong","non-dropping-particle":"","parse-names":false,"suffix":""},{"dropping-particle":"","family":"Chen","given":"Jianxiong","non-dropping-particle":"","parse-names":false,"suffix":""},{"dropping-particle":"","family":"Hu","given":"Yonghong","non-dropping-particle":"","parse-names":false,"suffix":""},{"dropping-particle":"","family":"Lu","given":"Wei","non-dropping-particle":"","parse-names":false,"suffix":""},{"dropping-particle":"","family":"Zhang","given":"Xiaoqin","non-dropping-particle":"","parse-names":false,"suffix":""},{"dropping-particle":"","family":"Wang","given":"Ruiguo","non-dropping-particle":"","parse-names":false,"suffix":""},{"dropping-particle":"","family":"Chu","given":"Kedan","non-dropping-particle":"","parse-names":false,"suffix":""}],"container-title":"Inflammation","id":"ITEM-1","issue":"2","issued":{"date-parts":[["2018"]]},"page":"732-740","publisher":"Springer","title":"Rosmarinic Acid Mitigates Lipopolysaccharide-Induced Neuroinflammatory Responses through the Inhibition of TLR4 and CD14 Expression and NF-κB and NLRP3 Inflammasome Activation","type":"article-journal","volume":"41"},"uris":["http://www.mendeley.com/documents/?uuid=41918d2a-79f6-47e4-b826-75e8b1b520fa"]}],"mendeley":{"formattedCitation":"(11)","plainTextFormattedCitation":"(11)","previouslyFormattedCitation":"(11)"},"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(11)</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 xml:space="preserve">. Moreover, recent studies suggest that RA influences the Toll-like receptor (TLR) signaling pathway, a crucial component of the innate immune system responsible for recognizing specific molecular patterns associated with pathogens </w:t>
      </w:r>
      <w:r w:rsidRPr="00EF2430">
        <w:rPr>
          <w:rFonts w:ascii="Times New Roman" w:hAnsi="Times New Roman" w:cs="Times New Roman"/>
          <w:color w:val="000000" w:themeColor="text1"/>
          <w:spacing w:val="-2"/>
          <w:sz w:val="24"/>
          <w:szCs w:val="24"/>
          <w:lang w:val="en"/>
        </w:rPr>
        <w:fldChar w:fldCharType="begin" w:fldLock="1"/>
      </w:r>
      <w:r w:rsidRPr="00EF2430">
        <w:rPr>
          <w:rFonts w:ascii="Times New Roman" w:hAnsi="Times New Roman" w:cs="Times New Roman"/>
          <w:color w:val="000000" w:themeColor="text1"/>
          <w:spacing w:val="-2"/>
          <w:sz w:val="24"/>
          <w:szCs w:val="24"/>
          <w:lang w:val="en"/>
        </w:rPr>
        <w:instrText>ADDIN CSL_CITATION {"citationItems":[{"id":"ITEM-1","itemData":{"DOI":"10.1007/s10753-017-0700-8","ISSN":"15732576","PMID":"29204872","abstract":"Rosmarinic acid (RA), a type of food additives mainly extracted from rosemary, has been reported to possess anti-inflammatory activities in some previous studies. However, the effects of RA on lipopolysaccharide (LPS)-induced mastitis have not been reported. Here, we investigated the anti-inflammatory effects of RA on LPS-induced mastitis in mice and elucidated the potential mechanisms in mouse mammary epithelial cells (mMECs). RA treatment significantly ameliorated the mammary structural damage, and reduced the activity of myeloperoxidase. ELISA and qPCR results indicated that RA dose-dependently decreased the expression of TNF-α, IL-1β, and IL-6 both in tissues and mMECs. Furthermore, RA remarkably suppressed the protein levels of TLR4, MyD88, IRAK1, TRAF6, and p-IKKβ. In addition, RA was also found to inhibit LPS-induced NF-κB signaling pathway activation. These results suggest that RA effectively attenuates LPS-induced mastitis by inhibiting the TLR4/MyD88/NF-κB signaling pathway.","author":[{"dropping-particle":"","family":"Jiang","given":"Kangfeng","non-dropping-particle":"","parse-names":false,"suffix":""},{"dropping-particle":"","family":"Ma","given":"Xiaofei","non-dropping-particle":"","parse-names":false,"suffix":""},{"dropping-particle":"","family":"Guo","given":"Shuai","non-dropping-particle":"","parse-names":false,"suffix":""},{"dropping-particle":"","family":"Zhang","given":"Tao","non-dropping-particle":"","parse-names":false,"suffix":""},{"dropping-particle":"","family":"Zhao","given":"Gan","non-dropping-particle":"","parse-names":false,"suffix":""},{"dropping-particle":"","family":"Wu","given":"Haichong","non-dropping-particle":"","parse-names":false,"suffix":""},{"dropping-particle":"","family":"Wang","given":"Xiaoyan","non-dropping-particle":"","parse-names":false,"suffix":""},{"dropping-particle":"","family":"Deng","given":"Ganzhen","non-dropping-particle":"","parse-names":false,"suffix":""}],"container-title":"Inflammation","id":"ITEM-1","issue":"2","issued":{"date-parts":[["2018"]]},"page":"437-448","publisher":"Springer","title":"Anti-inflammatory Effects of Rosmarinic Acid in Lipopolysaccharide-Induced Mastitis in Mice","type":"article-journal","volume":"41"},"uris":["http://www.mendeley.com/documents/?uuid=741cdc74-8e52-43f0-8499-c7b5c1c94507"]},{"id":"ITEM-2","itemData":{"DOI":"10.3389/fphar.2020.00153","ISSN":"16639812","abstract":"Inflammatory diseases are caused by abnormal immune responses and are characterized by an imbalance of inflammatory mediators and cells. In recent years, the anti-inflammatory activity of natural products has attracted wide attention. Rosmarinic acid (RosA) is a water-soluble phenolic compound that is an ester of caffeic acid and 3, 4-dihydroxyphenyl lactic acid. It is discovered in many plants, like those of the Boraginaceae and Lamiaceae families. RosA has a wide range of pharmacological effects, including anti-oxidative, anti-apoptotic, anti-tumorigenic, and anti-inflammatory effects. The anti-inflammatory effects of RosA have been revealed through in vitro and in vivo studies of various inflammatory diseases like arthritis, colitis, and atopic dermatitis. This article mainly describes the preclinical research of RosA on inflammatory diseases and depicts a small amount of clinical research data. The purpose of this review is to discuss the anti-inflammatory effects of RosA in inflammatory diseases and its underlying mechanism.","author":[{"dropping-particle":"","family":"Luo","given":"Chunxu","non-dropping-particle":"","parse-names":false,"suffix":""},{"dropping-particle":"","family":"Zou","given":"Lin","non-dropping-particle":"","parse-names":false,"suffix":""},{"dropping-particle":"","family":"Sun","given":"Huijun","non-dropping-particle":"","parse-names":false,"suffix":""},{"dropping-particle":"","family":"Peng","given":"Jinyong","non-dropping-particle":"","parse-names":false,"suffix":""},{"dropping-particle":"","family":"Gao","given":"Cong","non-dropping-particle":"","parse-names":false,"suffix":""},{"dropping-particle":"","family":"Bao","given":"Liuchi","non-dropping-particle":"","parse-names":false,"suffix":""},{"dropping-particle":"","family":"Ji","given":"Renpeng","non-dropping-particle":"","parse-names":false,"suffix":""},{"dropping-particle":"","family":"Jin","given":"Yue","non-dropping-particle":"","parse-names":false,"suffix":""},{"dropping-particle":"","family":"Sun","given":"Shuangyong","non-dropping-particle":"","parse-names":false,"suffix":""}],"container-title":"Frontiers in Pharmacology","id":"ITEM-2","issued":{"date-parts":[["2020"]]},"page":"153","publisher":"Frontiers Media SA","title":"A Review of the Anti-Inflammatory Effects of Rosmarinic Acid on Inflammatory Diseases","type":"article-journal","volume":"11"},"uris":["http://www.mendeley.com/documents/?uuid=69b9dad5-6492-4da4-878f-410aef3900bb"]}],"mendeley":{"formattedCitation":"(12,13)","plainTextFormattedCitation":"(12,13)","previouslyFormattedCitation":"(12,13)"},"properties":{"noteIndex":0},"schema":"https://github.com/citation-style-language/schema/raw/master/csl-citation.json"}</w:instrText>
      </w:r>
      <w:r w:rsidRPr="00EF2430">
        <w:rPr>
          <w:rFonts w:ascii="Times New Roman" w:hAnsi="Times New Roman" w:cs="Times New Roman"/>
          <w:color w:val="000000" w:themeColor="text1"/>
          <w:spacing w:val="-2"/>
          <w:sz w:val="24"/>
          <w:szCs w:val="24"/>
          <w:lang w:val="en"/>
        </w:rPr>
        <w:fldChar w:fldCharType="separate"/>
      </w:r>
      <w:r w:rsidRPr="00EF2430">
        <w:rPr>
          <w:rFonts w:ascii="Times New Roman" w:hAnsi="Times New Roman" w:cs="Times New Roman"/>
          <w:color w:val="000000" w:themeColor="text1"/>
          <w:spacing w:val="-2"/>
          <w:sz w:val="24"/>
          <w:szCs w:val="24"/>
          <w:lang w:val="en"/>
        </w:rPr>
        <w:t>(12,13)</w:t>
      </w:r>
      <w:r w:rsidRPr="00EF2430">
        <w:rPr>
          <w:rFonts w:ascii="Times New Roman" w:hAnsi="Times New Roman" w:cs="Times New Roman"/>
          <w:color w:val="000000" w:themeColor="text1"/>
          <w:spacing w:val="-2"/>
          <w:sz w:val="24"/>
          <w:szCs w:val="24"/>
        </w:rPr>
        <w:fldChar w:fldCharType="end"/>
      </w:r>
      <w:r w:rsidRPr="00EF2430">
        <w:rPr>
          <w:rFonts w:ascii="Times New Roman" w:hAnsi="Times New Roman" w:cs="Times New Roman"/>
          <w:color w:val="000000" w:themeColor="text1"/>
          <w:spacing w:val="-2"/>
          <w:sz w:val="24"/>
          <w:szCs w:val="24"/>
          <w:lang w:val="en"/>
        </w:rPr>
        <w:t>. These findings suggest that RA could represent a potential therapeutic approach for treating PQ-induced lung injury. Therefore, this study aims to explore whether RA can mitigate PQ-induced lung damage in mice by investigating both biochemical and histopathological alterations.</w:t>
      </w:r>
    </w:p>
    <w:p w14:paraId="49CB339C"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pacing w:val="-2"/>
          <w:sz w:val="24"/>
          <w:szCs w:val="24"/>
          <w:lang w:val="en"/>
        </w:rPr>
      </w:pPr>
    </w:p>
    <w:p w14:paraId="76A273AC" w14:textId="77777777" w:rsidR="00367E92" w:rsidRPr="00EF2430" w:rsidRDefault="00367E92" w:rsidP="00367E92">
      <w:pPr>
        <w:tabs>
          <w:tab w:val="left" w:pos="284"/>
        </w:tabs>
        <w:spacing w:after="0" w:line="240" w:lineRule="auto"/>
        <w:contextualSpacing/>
        <w:jc w:val="both"/>
        <w:outlineLvl w:val="0"/>
        <w:rPr>
          <w:rFonts w:ascii="Times New Roman" w:hAnsi="Times New Roman" w:cs="Times New Roman"/>
          <w:b/>
          <w:bCs/>
          <w:color w:val="000000" w:themeColor="text1"/>
          <w:sz w:val="28"/>
          <w:szCs w:val="28"/>
        </w:rPr>
      </w:pPr>
      <w:r w:rsidRPr="00EF2430">
        <w:rPr>
          <w:rFonts w:ascii="Times New Roman" w:hAnsi="Times New Roman" w:cs="Times New Roman"/>
          <w:b/>
          <w:bCs/>
          <w:color w:val="000000" w:themeColor="text1"/>
          <w:sz w:val="28"/>
          <w:szCs w:val="28"/>
        </w:rPr>
        <w:t xml:space="preserve">Materials and Methods </w:t>
      </w:r>
    </w:p>
    <w:p w14:paraId="07CE24F0"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rPr>
      </w:pPr>
      <w:r w:rsidRPr="00EF2430">
        <w:rPr>
          <w:rFonts w:ascii="Times New Roman" w:hAnsi="Times New Roman" w:cs="Times New Roman"/>
          <w:b/>
          <w:bCs/>
          <w:i/>
          <w:iCs/>
          <w:color w:val="000000" w:themeColor="text1"/>
          <w:sz w:val="24"/>
          <w:szCs w:val="24"/>
        </w:rPr>
        <w:t>Chemicals</w:t>
      </w:r>
    </w:p>
    <w:p w14:paraId="0A6BB3BA" w14:textId="38936C94"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
        </w:rPr>
        <w:t>Paraquat (PQ)</w:t>
      </w:r>
      <w:r w:rsidRPr="00EF2430">
        <w:rPr>
          <w:rFonts w:ascii="Times New Roman" w:hAnsi="Times New Roman" w:cs="Times New Roman"/>
          <w:color w:val="000000" w:themeColor="text1"/>
          <w:sz w:val="24"/>
          <w:szCs w:val="24"/>
          <w:lang w:val="en-GB"/>
        </w:rPr>
        <w:t xml:space="preserve"> and </w:t>
      </w:r>
      <w:proofErr w:type="spellStart"/>
      <w:r w:rsidRPr="00EF2430">
        <w:rPr>
          <w:rFonts w:ascii="Times New Roman" w:hAnsi="Times New Roman" w:cs="Times New Roman"/>
          <w:color w:val="000000" w:themeColor="text1"/>
          <w:sz w:val="24"/>
          <w:szCs w:val="24"/>
          <w:lang w:val="en"/>
        </w:rPr>
        <w:t>Rosmarinic</w:t>
      </w:r>
      <w:proofErr w:type="spellEnd"/>
      <w:r w:rsidRPr="00EF2430">
        <w:rPr>
          <w:rFonts w:ascii="Times New Roman" w:hAnsi="Times New Roman" w:cs="Times New Roman"/>
          <w:color w:val="000000" w:themeColor="text1"/>
          <w:sz w:val="24"/>
          <w:szCs w:val="24"/>
          <w:lang w:val="en"/>
        </w:rPr>
        <w:t xml:space="preserve"> acid (RA) </w:t>
      </w:r>
      <w:r w:rsidRPr="00EF2430">
        <w:rPr>
          <w:rFonts w:ascii="Times New Roman" w:hAnsi="Times New Roman" w:cs="Times New Roman"/>
          <w:color w:val="000000" w:themeColor="text1"/>
          <w:sz w:val="24"/>
          <w:szCs w:val="24"/>
          <w:lang w:val="en-GB"/>
        </w:rPr>
        <w:t xml:space="preserve">were purchased from Merck (Germany) and Sigma-Aldrich (USA). All the compounds were dissolved in saline. Doses were chosen based on previous studies </w:t>
      </w:r>
      <w:r w:rsidRPr="00EF2430">
        <w:rPr>
          <w:rFonts w:ascii="Times New Roman" w:hAnsi="Times New Roman" w:cs="Times New Roman"/>
          <w:color w:val="000000" w:themeColor="text1"/>
          <w:sz w:val="24"/>
          <w:szCs w:val="24"/>
          <w:lang w:val="en-GB"/>
        </w:rPr>
        <w:fldChar w:fldCharType="begin" w:fldLock="1"/>
      </w:r>
      <w:r w:rsidRPr="00EF2430">
        <w:rPr>
          <w:rFonts w:ascii="Times New Roman" w:hAnsi="Times New Roman" w:cs="Times New Roman"/>
          <w:color w:val="000000" w:themeColor="text1"/>
          <w:sz w:val="24"/>
          <w:szCs w:val="24"/>
          <w:lang w:val="en-GB"/>
        </w:rPr>
        <w:instrText>ADDIN CSL_CITATION {"citationItems":[{"id":"ITEM-1","itemData":{"DOI":"10.1016/j.fct.2013.04.024","ISSN":"02786915","PMID":"23603004","abstract":"The present study evaluates protective effects of naringin against paraquat (PQ)-induced acute lung injury (ALI) and pulmonary fibrosis in mice. Survival probability against PQ intoxication was tested by a single intraperitoneal injection of PQ. Results showed that survival rates of mice exposed to PQ only (50. mg/kg within 7. days) were much lower than that in mice daily treatment with NAC or naringin. Moreover, protection against PQ-induced ALI was tested by daily pretreatment mice with saline, NAC or naringin for 3. days before PQ (30. mg/kg, i.p.). Results showed that increase in leukocytes infiltration and overexpressions of TNF-α and TGF-β1 caused by 8. h of PQ exposure were dose-dependently ameliorated by naringin. Furthermore, protection against PQ-induced pulmonary fibrosis was tested by pretreatment mice with PQ (20. mg/kg, i.p.), and then daily administration with saline, NAC or naringin for prolonged 21. days. Results showed that naringin of 60 and 120. mg/kg significantly reduced PQ-induced upregulations of TNF-α, TGF-β1, MMP-9 and TIMP-1, levels of pulmonary malonaldehyde and hydroxyproline, as well as pulmonary fibrosis deposition, while increased activities of SOD, GSH-Px and HO-1. These results indicated that naringin had effective protection against PQ-induced ALI and pulmonary fibrosis. © 2013 Elsevier Ltd.","author":[{"dropping-particle":"","family":"Chen","given":"Yan","non-dropping-particle":"","parse-names":false,"suffix":""},{"dropping-particle":"","family":"Nie","given":"Yi Chu","non-dropping-particle":"","parse-names":false,"suffix":""},{"dropping-particle":"","family":"Luo","given":"Yu Long","non-dropping-particle":"","parse-names":false,"suffix":""},{"dropping-particle":"","family":"Lin","given":"Feng","non-dropping-particle":"","parse-names":false,"suffix":""},{"dropping-particle":"","family":"Zheng","given":"Yan Fang","non-dropping-particle":"","parse-names":false,"suffix":""},{"dropping-particle":"","family":"Cheng","given":"Guo Hua","non-dropping-particle":"","parse-names":false,"suffix":""},{"dropping-particle":"","family":"Wu","given":"Hao","non-dropping-particle":"","parse-names":false,"suffix":""},{"dropping-particle":"","family":"Zhang","given":"Ke Jian","non-dropping-particle":"","parse-names":false,"suffix":""},{"dropping-particle":"","family":"Su","given":"Wei Wei","non-dropping-particle":"","parse-names":false,"suffix":""},{"dropping-particle":"","family":"Shen","given":"Jian Gang","non-dropping-particle":"","parse-names":false,"suffix":""},{"dropping-particle":"","family":"Li","given":"Pei Bo","non-dropping-particle":"","parse-names":false,"suffix":""}],"container-title":"Food and Chemical Toxicology","id":"ITEM-1","issued":{"date-parts":[["2013"]]},"page":"133-140","publisher":"Elsevier","title":"Protective effects of naringin against paraquat-induced acute lung injury and pulmonary fibrosis in mice","type":"article-journal","volume":"58"},"uris":["http://www.mendeley.com/documents/?uuid=a6af130f-15e3-4bc9-bc16-7745c26cbb70"]},{"id":"ITEM-2","itemData":{"DOI":"10.1038/s41419-017-0123-3","ISSN":"20414889","PMID":"29367637","abstract":"Agonists of peroxisome proliferator-activated receptor gamma (PPAR-γ) can activate 5′ AMP-activated protein kinase alpha (AMPKα) and exert cardioprotective effects. A previous study has demonstrated that rosmarinic acid (RA) can activate PPAR-γ, but its effect on cardiac remodeling remains largely unknown. Our study aimed to investigate the effect of RA on cardiac remodeling and to clarify the underlying mechanism. Mice were subjected to aortic banding to generate pressure overload induced cardiac remodeling and then were orally administered RA (100 mg/kg/day) for 7 weeks beginning 1 week after surgery. The morphological examination, echocardiography, and molecular markers were used to evaluate the effects of RA. To ascertain whether the beneficial effect of RA on cardiac fibrosis was mediated by AMPKα, AMPKα2 knockout mice were used. Neonatal rat cardiomyocytes and fibroblasts were separated and cultured to validate the protective effect of RA in vitro. RA-treated mice exhibited a similar hypertrophic response as mice without RA treatment, but had an attenuated fibrotic response and improved cardiac function after pressure overload. Activated AMPKα was essential for the anti-fibrotic effect of RA via inhibiting the phosphorylation and nuclear translocation of Smad3 in vivo and in vitro, and AMPKα deficiency abolished RA-mediated protective effects. Small interfering RNA against Ppar-γ (siPpar-γ) and GW9662, a specific antagonist of PPAR-γ, abolished RA-mediated AMPKα phosphorylation and alleviation of fibrotic response in vitro. RA attenuated cardiac fibrosis following long-term pressure overload via AMPKα/Smad3 signaling and PPAR-γ was required for the activation of AMPKα. RA might be a promising therapeutic agent against cardiac fibrosis.","author":[{"dropping-particle":"","family":"Zhang","given":"Xin","non-dropping-particle":"","parse-names":false,"suffix":""},{"dropping-particle":"","family":"Ma","given":"Zhen Guo","non-dropping-particle":"","parse-names":false,"suffix":""},{"dropping-particle":"","family":"Yuan","given":"Yu Pei","non-dropping-particle":"","parse-names":false,"suffix":""},{"dropping-particle":"","family":"Xu","given":"Si Chi","non-dropping-particle":"","parse-names":false,"suffix":""},{"dropping-particle":"","family":"Wei","given":"Wen Ying","non-dropping-particle":"","parse-names":false,"suffix":""},{"dropping-particle":"","family":"Song","given":"Peng","non-dropping-particle":"","parse-names":false,"suffix":""},{"dropping-particle":"","family":"Kong","given":"Chun Yan","non-dropping-particle":"","parse-names":false,"suffix":""},{"dropping-particle":"","family":"Deng","given":"Wei","non-dropping-particle":"","parse-names":false,"suffix":""},{"dropping-particle":"","family":"Tang","given":"Qi Zhu","non-dropping-particle":"","parse-names":false,"suffix":""}],"container-title":"Cell Death and Disease","id":"ITEM-2","issue":"2","issued":{"date-parts":[["2018"]]},"page":"102","publisher":"Nature Publishing Group UK London","title":"Rosmarinic acid attenuates cardiac fibrosis following long-term pressure overload via AMPKα/Smad3 signaling article","type":"article-journal","volume":"9"},"uris":["http://www.mendeley.com/documents/?uuid=fad7f793-4fb6-4912-8cdf-aa8502e05a35"]}],"mendeley":{"formattedCitation":"(14,15)","plainTextFormattedCitation":"(14,15)","previouslyFormattedCitation":"(14,15)"},"properties":{"noteIndex":0},"schema":"https://github.com/citation-style-language/schema/raw/master/csl-citation.json"}</w:instrText>
      </w:r>
      <w:r w:rsidRPr="00EF2430">
        <w:rPr>
          <w:rFonts w:ascii="Times New Roman" w:hAnsi="Times New Roman" w:cs="Times New Roman"/>
          <w:color w:val="000000" w:themeColor="text1"/>
          <w:sz w:val="24"/>
          <w:szCs w:val="24"/>
          <w:lang w:val="en-GB"/>
        </w:rPr>
        <w:fldChar w:fldCharType="separate"/>
      </w:r>
      <w:r w:rsidRPr="00EF2430">
        <w:rPr>
          <w:rFonts w:ascii="Times New Roman" w:hAnsi="Times New Roman" w:cs="Times New Roman"/>
          <w:color w:val="000000" w:themeColor="text1"/>
          <w:sz w:val="24"/>
          <w:szCs w:val="24"/>
          <w:lang w:val="en-GB"/>
        </w:rPr>
        <w:t>(14,15)</w:t>
      </w:r>
      <w:r w:rsidRPr="00EF2430">
        <w:rPr>
          <w:rFonts w:ascii="Times New Roman" w:hAnsi="Times New Roman" w:cs="Times New Roman"/>
          <w:color w:val="000000" w:themeColor="text1"/>
          <w:sz w:val="24"/>
          <w:szCs w:val="24"/>
        </w:rPr>
        <w:fldChar w:fldCharType="end"/>
      </w:r>
      <w:r w:rsidRPr="00EF2430">
        <w:rPr>
          <w:rFonts w:ascii="Times New Roman" w:hAnsi="Times New Roman" w:cs="Times New Roman"/>
          <w:color w:val="000000" w:themeColor="text1"/>
          <w:sz w:val="24"/>
          <w:szCs w:val="24"/>
          <w:lang w:val="en-GB"/>
        </w:rPr>
        <w:t>.</w:t>
      </w:r>
    </w:p>
    <w:p w14:paraId="0AB92CD4"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p>
    <w:p w14:paraId="60DAA44F" w14:textId="77777777" w:rsidR="003E6C57" w:rsidRPr="00EF2430" w:rsidRDefault="003E6C57" w:rsidP="00791015">
      <w:pPr>
        <w:tabs>
          <w:tab w:val="left" w:pos="284"/>
        </w:tabs>
        <w:spacing w:before="240" w:after="0" w:line="240" w:lineRule="auto"/>
        <w:contextualSpacing/>
        <w:jc w:val="both"/>
        <w:outlineLvl w:val="0"/>
        <w:rPr>
          <w:rFonts w:ascii="Times New Roman" w:hAnsi="Times New Roman" w:cs="Times New Roman"/>
          <w:i/>
          <w:iCs/>
          <w:color w:val="000000" w:themeColor="text1"/>
          <w:sz w:val="24"/>
          <w:szCs w:val="24"/>
          <w:lang w:val="en"/>
        </w:rPr>
      </w:pPr>
      <w:r w:rsidRPr="00EF2430">
        <w:rPr>
          <w:rFonts w:ascii="Times New Roman" w:hAnsi="Times New Roman" w:cs="Times New Roman"/>
          <w:b/>
          <w:bCs/>
          <w:i/>
          <w:iCs/>
          <w:color w:val="000000" w:themeColor="text1"/>
          <w:sz w:val="24"/>
          <w:szCs w:val="24"/>
          <w:lang w:val="en-GB"/>
        </w:rPr>
        <w:t>Animals</w:t>
      </w:r>
    </w:p>
    <w:p w14:paraId="3EDE5E50" w14:textId="7CF98A4B"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 xml:space="preserve">Sixty male NMRI albino mice, initially weighing between 25–30 g, were obtained from the animal house of Ahvaz </w:t>
      </w:r>
      <w:proofErr w:type="spellStart"/>
      <w:r w:rsidRPr="00EF2430">
        <w:rPr>
          <w:rFonts w:ascii="Times New Roman" w:hAnsi="Times New Roman" w:cs="Times New Roman"/>
          <w:color w:val="000000" w:themeColor="text1"/>
          <w:sz w:val="24"/>
          <w:szCs w:val="24"/>
          <w:lang w:val="en-GB"/>
        </w:rPr>
        <w:t>Jundishapur</w:t>
      </w:r>
      <w:proofErr w:type="spellEnd"/>
      <w:r w:rsidRPr="00EF2430">
        <w:rPr>
          <w:rFonts w:ascii="Times New Roman" w:hAnsi="Times New Roman" w:cs="Times New Roman"/>
          <w:color w:val="000000" w:themeColor="text1"/>
          <w:sz w:val="24"/>
          <w:szCs w:val="24"/>
          <w:lang w:val="en-GB"/>
        </w:rPr>
        <w:t xml:space="preserve"> University of Medical Sciences, Iran. The mice were kept under standard conditions of 23 ± 2 °C and 12-hour light/dark cycles and were provided </w:t>
      </w:r>
      <w:r w:rsidRPr="00EF2430">
        <w:rPr>
          <w:rFonts w:ascii="Times New Roman" w:hAnsi="Times New Roman" w:cs="Times New Roman"/>
          <w:i/>
          <w:iCs/>
          <w:color w:val="000000" w:themeColor="text1"/>
          <w:sz w:val="24"/>
          <w:szCs w:val="24"/>
          <w:lang w:val="en-GB"/>
        </w:rPr>
        <w:t>ad libitum</w:t>
      </w:r>
      <w:r w:rsidRPr="00EF2430">
        <w:rPr>
          <w:rFonts w:ascii="Times New Roman" w:hAnsi="Times New Roman" w:cs="Times New Roman"/>
          <w:color w:val="000000" w:themeColor="text1"/>
          <w:sz w:val="24"/>
          <w:szCs w:val="24"/>
          <w:lang w:val="en-GB"/>
        </w:rPr>
        <w:t xml:space="preserve"> access to food and water. </w:t>
      </w:r>
    </w:p>
    <w:p w14:paraId="0C3B51D1"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p>
    <w:p w14:paraId="73D50750"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lang w:val="en-GB"/>
        </w:rPr>
      </w:pPr>
      <w:r w:rsidRPr="00EF2430">
        <w:rPr>
          <w:rFonts w:ascii="Times New Roman" w:hAnsi="Times New Roman" w:cs="Times New Roman"/>
          <w:b/>
          <w:bCs/>
          <w:i/>
          <w:iCs/>
          <w:color w:val="000000" w:themeColor="text1"/>
          <w:sz w:val="24"/>
          <w:szCs w:val="24"/>
          <w:lang w:val="en-GB"/>
        </w:rPr>
        <w:t>Ethical Consideration</w:t>
      </w:r>
    </w:p>
    <w:p w14:paraId="4E86899D" w14:textId="5ABE680F"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 xml:space="preserve">All protocols were approved by the Research Ethics Committee of Ahvaz </w:t>
      </w:r>
      <w:proofErr w:type="spellStart"/>
      <w:r w:rsidRPr="00EF2430">
        <w:rPr>
          <w:rFonts w:ascii="Times New Roman" w:hAnsi="Times New Roman" w:cs="Times New Roman"/>
          <w:color w:val="000000" w:themeColor="text1"/>
          <w:sz w:val="24"/>
          <w:szCs w:val="24"/>
          <w:lang w:val="en-GB"/>
        </w:rPr>
        <w:t>Jundishapur</w:t>
      </w:r>
      <w:proofErr w:type="spellEnd"/>
      <w:r w:rsidRPr="00EF2430">
        <w:rPr>
          <w:rFonts w:ascii="Times New Roman" w:hAnsi="Times New Roman" w:cs="Times New Roman"/>
          <w:color w:val="000000" w:themeColor="text1"/>
          <w:sz w:val="24"/>
          <w:szCs w:val="24"/>
          <w:lang w:val="en-GB"/>
        </w:rPr>
        <w:t xml:space="preserve"> University of Medical Sciences (Ethical code:</w:t>
      </w:r>
      <w:r w:rsidRPr="00EF2430">
        <w:rPr>
          <w:rFonts w:ascii="Times New Roman" w:hAnsi="Times New Roman" w:cs="Times New Roman"/>
          <w:color w:val="000000" w:themeColor="text1"/>
          <w:sz w:val="24"/>
          <w:szCs w:val="24"/>
        </w:rPr>
        <w:t xml:space="preserve"> </w:t>
      </w:r>
      <w:r w:rsidRPr="00EF2430">
        <w:rPr>
          <w:rFonts w:ascii="Times New Roman" w:hAnsi="Times New Roman" w:cs="Times New Roman"/>
          <w:color w:val="000000" w:themeColor="text1"/>
          <w:sz w:val="24"/>
          <w:szCs w:val="24"/>
          <w:lang w:val="en-GB"/>
        </w:rPr>
        <w:t>IR.AJUMS.ABHC.REC.1397.031), which is affiliated with the National Institutes of Health.</w:t>
      </w:r>
    </w:p>
    <w:p w14:paraId="55AAFCF0"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p>
    <w:p w14:paraId="1A5A2820"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lang w:val="en-GB"/>
        </w:rPr>
      </w:pPr>
      <w:r w:rsidRPr="00EF2430">
        <w:rPr>
          <w:rFonts w:ascii="Times New Roman" w:hAnsi="Times New Roman" w:cs="Times New Roman"/>
          <w:b/>
          <w:bCs/>
          <w:i/>
          <w:iCs/>
          <w:color w:val="000000" w:themeColor="text1"/>
          <w:sz w:val="24"/>
          <w:szCs w:val="24"/>
          <w:lang w:val="en-GB"/>
        </w:rPr>
        <w:t>Study design</w:t>
      </w:r>
    </w:p>
    <w:p w14:paraId="0FC2102C"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The study was conducted during the 6- and 24-day periods, with mice divided into five groups for each experimental period (n=6) and treated as follows:</w:t>
      </w:r>
    </w:p>
    <w:p w14:paraId="22F31279"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Group I: Received saline daily.</w:t>
      </w:r>
    </w:p>
    <w:p w14:paraId="62185F0E"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 xml:space="preserve">Group II: Received a single dose of PQ (25 mg/kg, </w:t>
      </w:r>
      <w:proofErr w:type="spellStart"/>
      <w:r w:rsidRPr="00EF2430">
        <w:rPr>
          <w:rFonts w:ascii="Times New Roman" w:hAnsi="Times New Roman" w:cs="Times New Roman"/>
          <w:color w:val="000000" w:themeColor="text1"/>
          <w:sz w:val="24"/>
          <w:szCs w:val="24"/>
          <w:lang w:val="en-GB"/>
        </w:rPr>
        <w:t>i.p.</w:t>
      </w:r>
      <w:proofErr w:type="spellEnd"/>
      <w:r w:rsidRPr="00EF2430">
        <w:rPr>
          <w:rFonts w:ascii="Times New Roman" w:hAnsi="Times New Roman" w:cs="Times New Roman"/>
          <w:color w:val="000000" w:themeColor="text1"/>
          <w:sz w:val="24"/>
          <w:szCs w:val="24"/>
          <w:lang w:val="en-GB"/>
        </w:rPr>
        <w:t>) on day 3.</w:t>
      </w:r>
    </w:p>
    <w:p w14:paraId="5C0397A4"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Groups III and IV: Received 50 mg/kg and 100 mg/kg of RA for 6 or 24 days, respectively.</w:t>
      </w:r>
    </w:p>
    <w:p w14:paraId="10DD5C93" w14:textId="1BB655D6"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Group V: Received 100 mg/kg of RA daily.</w:t>
      </w:r>
    </w:p>
    <w:p w14:paraId="3D07B3A1"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p>
    <w:p w14:paraId="17353FC2"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rPr>
      </w:pPr>
      <w:r w:rsidRPr="00EF2430">
        <w:rPr>
          <w:rFonts w:ascii="Times New Roman" w:hAnsi="Times New Roman" w:cs="Times New Roman"/>
          <w:b/>
          <w:bCs/>
          <w:i/>
          <w:iCs/>
          <w:color w:val="000000" w:themeColor="text1"/>
          <w:sz w:val="24"/>
          <w:szCs w:val="24"/>
        </w:rPr>
        <w:t>Sample Collection</w:t>
      </w:r>
    </w:p>
    <w:p w14:paraId="70DBAC79" w14:textId="6B830CDD"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Mice were anesthetized with ketamine and xylazine (100/10 mg/kg, </w:t>
      </w:r>
      <w:proofErr w:type="spellStart"/>
      <w:r w:rsidRPr="00EF2430">
        <w:rPr>
          <w:rFonts w:ascii="Times New Roman" w:hAnsi="Times New Roman" w:cs="Times New Roman"/>
          <w:color w:val="000000" w:themeColor="text1"/>
          <w:sz w:val="24"/>
          <w:szCs w:val="24"/>
        </w:rPr>
        <w:t>Alfasan</w:t>
      </w:r>
      <w:proofErr w:type="spellEnd"/>
      <w:r w:rsidRPr="00EF2430">
        <w:rPr>
          <w:rFonts w:ascii="Times New Roman" w:hAnsi="Times New Roman" w:cs="Times New Roman"/>
          <w:color w:val="000000" w:themeColor="text1"/>
          <w:sz w:val="24"/>
          <w:szCs w:val="24"/>
        </w:rPr>
        <w:t xml:space="preserve">, Netherlands) 24 h after the last treatment </w:t>
      </w:r>
      <w:r w:rsidRPr="00EF2430">
        <w:rPr>
          <w:rFonts w:ascii="Times New Roman" w:hAnsi="Times New Roman" w:cs="Times New Roman"/>
          <w:color w:val="000000" w:themeColor="text1"/>
          <w:sz w:val="24"/>
          <w:szCs w:val="24"/>
        </w:rPr>
        <w:fldChar w:fldCharType="begin" w:fldLock="1"/>
      </w:r>
      <w:r w:rsidRPr="00EF2430">
        <w:rPr>
          <w:rFonts w:ascii="Times New Roman" w:hAnsi="Times New Roman" w:cs="Times New Roman"/>
          <w:color w:val="000000" w:themeColor="text1"/>
          <w:sz w:val="24"/>
          <w:szCs w:val="24"/>
        </w:rPr>
        <w:instrText>ADDIN CSL_CITATION {"citationItems":[{"id":"ITEM-1","itemData":{"DOI":"10.1016/j.fct.2024.114950","ISSN":"18736351","PMID":"39182636","abstract":"Arsenic is a metalloid found in the environment that causes toxic effects in different organs, mainly the liver. This study aimed to investigate the protective effects of epicatechin (EC), a natural flavonol, on glucose intolerance (GI) and liver toxicity caused by sodium arsenite (SA) in mice. Our findings showed that SA exposure led to the development of GI. Liver tissue damage and decreased pancreatic Langerhans islet size were also observed in this study. Mice exposed to SA exhibited hepatic oxidative damage, indicated by reduced antioxidant markers (such as superoxide dismutase, catalase, glutathione peroxidase, and glutathione), along with elevated levels of thiobarbituric acid reactive substances. SA administration elevated the serum activities of liver enzymes alanine aminotransferase, aspartate aminotransferase, and alkaline phosphatase. Furthermore, notable increases in the levels of inflammatory and apoptotic markers (Toll-like receptor 4, nuclear factor-kappa B, tumor necrosis factor-α, nitric oxide, B-cell lymphoma-2, and cysteine aspartate-specific protease-3) were observed in the liver. Treatment of SA-exposed mice with EC considerably reversed these biochemical and histological changes. This study demonstrated the beneficial effects of EC in ameliorating SA-induced hyperglycemia and hepatotoxicity due to its ability to enhance the antioxidant system by modulating inflammation and apoptosis.","author":[{"dropping-particle":"","family":"Hejazi","given":"Sara","non-dropping-particle":"","parse-names":false,"suffix":""},{"dropping-particle":"","family":"Moosavi","given":"Mehrnoosh","non-dropping-particle":"","parse-names":false,"suffix":""},{"dropping-particle":"","family":"Molavinia","given":"Shahrzad","non-dropping-particle":"","parse-names":false,"suffix":""},{"dropping-particle":"","family":"Mansouri","given":"Esrafil","non-dropping-particle":"","parse-names":false,"suffix":""},{"dropping-particle":"","family":"Azadnasab","given":"Reza","non-dropping-particle":"","parse-names":false,"suffix":""},{"dropping-particle":"","family":"Khodayar","given":"Mohammad Javad","non-dropping-particle":"","parse-names":false,"suffix":""}],"container-title":"Food and Chemical Toxicology","id":"ITEM-1","issued":{"date-parts":[["2024"]]},"page":"114950","publisher":"Elsevier","title":"Epicatechin ameliorates glucose intolerance and hepatotoxicity in sodium arsenite-treated mice","type":"article-journal","volume":"192"},"uris":["http://www.mendeley.com/documents/?uuid=187cccb9-9aba-46ec-b747-60fe343c3c72"]}],"mendeley":{"formattedCitation":"(16)","plainTextFormattedCitation":"(16)","previouslyFormattedCitation":"(16)"},"properties":{"noteIndex":0},"schema":"https://github.com/citation-style-language/schema/raw/master/csl-citation.json"}</w:instrText>
      </w:r>
      <w:r w:rsidRPr="00EF2430">
        <w:rPr>
          <w:rFonts w:ascii="Times New Roman" w:hAnsi="Times New Roman" w:cs="Times New Roman"/>
          <w:color w:val="000000" w:themeColor="text1"/>
          <w:sz w:val="24"/>
          <w:szCs w:val="24"/>
        </w:rPr>
        <w:fldChar w:fldCharType="separate"/>
      </w:r>
      <w:r w:rsidRPr="00EF2430">
        <w:rPr>
          <w:rFonts w:ascii="Times New Roman" w:hAnsi="Times New Roman" w:cs="Times New Roman"/>
          <w:color w:val="000000" w:themeColor="text1"/>
          <w:sz w:val="24"/>
          <w:szCs w:val="24"/>
        </w:rPr>
        <w:t>(16)</w:t>
      </w:r>
      <w:r w:rsidRPr="00EF2430">
        <w:rPr>
          <w:rFonts w:ascii="Times New Roman" w:hAnsi="Times New Roman" w:cs="Times New Roman"/>
          <w:color w:val="000000" w:themeColor="text1"/>
          <w:sz w:val="24"/>
          <w:szCs w:val="24"/>
        </w:rPr>
        <w:fldChar w:fldCharType="end"/>
      </w:r>
      <w:r w:rsidRPr="00EF2430">
        <w:rPr>
          <w:rFonts w:ascii="Times New Roman" w:hAnsi="Times New Roman" w:cs="Times New Roman"/>
          <w:color w:val="000000" w:themeColor="text1"/>
          <w:sz w:val="24"/>
          <w:szCs w:val="24"/>
        </w:rPr>
        <w:t>. Surgical procedures, including opening the chest and immediate removal of the lungs, were performed under anesthesia. The right lung was used to evaluate gene expression, and the left lung was used for histological analysis.</w:t>
      </w:r>
    </w:p>
    <w:p w14:paraId="1D917146"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p>
    <w:p w14:paraId="3674843C"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rPr>
      </w:pPr>
      <w:r w:rsidRPr="00EF2430">
        <w:rPr>
          <w:rFonts w:ascii="Times New Roman" w:hAnsi="Times New Roman" w:cs="Times New Roman"/>
          <w:b/>
          <w:bCs/>
          <w:i/>
          <w:iCs/>
          <w:color w:val="000000" w:themeColor="text1"/>
          <w:sz w:val="24"/>
          <w:szCs w:val="24"/>
        </w:rPr>
        <w:t>RNA extraction and real-time polymerase chain reaction (RT-PCR)</w:t>
      </w:r>
    </w:p>
    <w:p w14:paraId="2F01C964"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The lung tissues were stored at -80 °C until total RNA was isolated. According to the manufacturer's instructions, total RNA was isolated from homogenized tissues using an RNX-Plus solution (</w:t>
      </w:r>
      <w:proofErr w:type="spellStart"/>
      <w:r w:rsidRPr="00EF2430">
        <w:rPr>
          <w:rFonts w:ascii="Times New Roman" w:hAnsi="Times New Roman" w:cs="Times New Roman"/>
          <w:color w:val="000000" w:themeColor="text1"/>
          <w:sz w:val="24"/>
          <w:szCs w:val="24"/>
        </w:rPr>
        <w:t>CinnaGen</w:t>
      </w:r>
      <w:proofErr w:type="spellEnd"/>
      <w:r w:rsidRPr="00EF2430">
        <w:rPr>
          <w:rFonts w:ascii="Times New Roman" w:hAnsi="Times New Roman" w:cs="Times New Roman"/>
          <w:color w:val="000000" w:themeColor="text1"/>
          <w:sz w:val="24"/>
          <w:szCs w:val="24"/>
        </w:rPr>
        <w:t>, Iran). Isolated RNA concentrations were measured by determining absorbance at 260 nm using a spectrophotometer (</w:t>
      </w:r>
      <w:proofErr w:type="spellStart"/>
      <w:r w:rsidRPr="00EF2430">
        <w:rPr>
          <w:rFonts w:ascii="Times New Roman" w:hAnsi="Times New Roman" w:cs="Times New Roman"/>
          <w:color w:val="000000" w:themeColor="text1"/>
          <w:sz w:val="24"/>
          <w:szCs w:val="24"/>
        </w:rPr>
        <w:t>NanoDrop</w:t>
      </w:r>
      <w:proofErr w:type="spellEnd"/>
      <w:r w:rsidRPr="00EF2430">
        <w:rPr>
          <w:rFonts w:ascii="Times New Roman" w:hAnsi="Times New Roman" w:cs="Times New Roman"/>
          <w:color w:val="000000" w:themeColor="text1"/>
          <w:sz w:val="24"/>
          <w:szCs w:val="24"/>
        </w:rPr>
        <w:t xml:space="preserve"> 1000, Thermo </w:t>
      </w:r>
      <w:r w:rsidRPr="00EF2430">
        <w:rPr>
          <w:rFonts w:ascii="Times New Roman" w:hAnsi="Times New Roman" w:cs="Times New Roman"/>
          <w:color w:val="000000" w:themeColor="text1"/>
          <w:sz w:val="24"/>
          <w:szCs w:val="24"/>
        </w:rPr>
        <w:lastRenderedPageBreak/>
        <w:t>Scientific). According to the manufacturer's instructions, cDNA was synthesized from isolated RNA using a cDNA synthesis kit (</w:t>
      </w:r>
      <w:proofErr w:type="spellStart"/>
      <w:r w:rsidRPr="00EF2430">
        <w:rPr>
          <w:rFonts w:ascii="Times New Roman" w:hAnsi="Times New Roman" w:cs="Times New Roman"/>
          <w:color w:val="000000" w:themeColor="text1"/>
          <w:sz w:val="24"/>
          <w:szCs w:val="24"/>
        </w:rPr>
        <w:t>Fermentas</w:t>
      </w:r>
      <w:proofErr w:type="spellEnd"/>
      <w:r w:rsidRPr="00EF2430">
        <w:rPr>
          <w:rFonts w:ascii="Times New Roman" w:hAnsi="Times New Roman" w:cs="Times New Roman"/>
          <w:color w:val="000000" w:themeColor="text1"/>
          <w:sz w:val="24"/>
          <w:szCs w:val="24"/>
        </w:rPr>
        <w:t>, Canada). Relative expression of TLR9 (NCBI reference sequence NM_031178.2), IL-1β (NCBI reference sequence NM_008361.4), and TNF-α (NCBI reference sequence NM_013693.2) was normalized to that of the housekeeping gene β-actin (NCBI reference sequence NM_007393.3) and analyzed by the 2</w:t>
      </w:r>
      <w:r w:rsidRPr="00EF2430">
        <w:rPr>
          <w:rFonts w:ascii="Times New Roman" w:hAnsi="Times New Roman" w:cs="Times New Roman"/>
          <w:color w:val="000000" w:themeColor="text1"/>
          <w:sz w:val="24"/>
          <w:szCs w:val="24"/>
          <w:vertAlign w:val="superscript"/>
        </w:rPr>
        <w:t>−ΔΔCt</w:t>
      </w:r>
      <w:r w:rsidRPr="00EF2430">
        <w:rPr>
          <w:rFonts w:ascii="Times New Roman" w:hAnsi="Times New Roman" w:cs="Times New Roman"/>
          <w:color w:val="000000" w:themeColor="text1"/>
          <w:sz w:val="24"/>
          <w:szCs w:val="24"/>
        </w:rPr>
        <w:t xml:space="preserve"> method. Primer sequences were as follows: </w:t>
      </w:r>
    </w:p>
    <w:p w14:paraId="248D7F87" w14:textId="77777777" w:rsidR="00DF5453"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β-actin forward,</w:t>
      </w:r>
    </w:p>
    <w:p w14:paraId="7297C1C4" w14:textId="3FEACF56"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5᾽-GGCTGTATTCCCCTCCATCG-3</w:t>
      </w:r>
      <w:r w:rsidR="00DF5453" w:rsidRPr="00EF2430">
        <w:rPr>
          <w:rFonts w:ascii="Times New Roman" w:hAnsi="Times New Roman" w:cs="Times New Roman"/>
          <w:color w:val="000000" w:themeColor="text1"/>
          <w:sz w:val="24"/>
          <w:szCs w:val="24"/>
        </w:rPr>
        <w:t>᾽</w:t>
      </w:r>
      <w:r w:rsidRPr="00EF2430">
        <w:rPr>
          <w:rFonts w:ascii="Times New Roman" w:hAnsi="Times New Roman" w:cs="Times New Roman"/>
          <w:color w:val="000000" w:themeColor="text1"/>
          <w:sz w:val="24"/>
          <w:szCs w:val="24"/>
        </w:rPr>
        <w:t xml:space="preserve">; </w:t>
      </w:r>
    </w:p>
    <w:p w14:paraId="62B9545C" w14:textId="77777777" w:rsidR="00DF5453"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β-actin reverse, </w:t>
      </w:r>
    </w:p>
    <w:p w14:paraId="42F15E22" w14:textId="606D789F"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5᾽-CCAGTTGGTAACAATGCCATGT-3᾽; </w:t>
      </w:r>
    </w:p>
    <w:p w14:paraId="1FC27719" w14:textId="77777777" w:rsidR="00DF5453"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TLR9 forward, </w:t>
      </w:r>
    </w:p>
    <w:p w14:paraId="40B527C7" w14:textId="4765999A"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5᾽-ATGGTTCTCCGTCGAAGGACT-3᾽; </w:t>
      </w:r>
    </w:p>
    <w:p w14:paraId="2E2A1AC0" w14:textId="77777777" w:rsidR="00DF5453"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TLR9 reverse,</w:t>
      </w:r>
    </w:p>
    <w:p w14:paraId="00C3C694" w14:textId="025FBEDF"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 5᾽-GAGGCTTCAGCTCACAGGG-3᾽; </w:t>
      </w:r>
    </w:p>
    <w:p w14:paraId="5C5CCD3C" w14:textId="77777777" w:rsidR="00DF5453"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IL-1β forward,</w:t>
      </w:r>
    </w:p>
    <w:p w14:paraId="71A5C19A" w14:textId="2050F1E6"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 5᾽-GCAACTGTTCCTGAACTCAACT-3᾽; </w:t>
      </w:r>
    </w:p>
    <w:p w14:paraId="2C4E0237" w14:textId="77777777" w:rsidR="00DF5453"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IL-1β reverse,</w:t>
      </w:r>
    </w:p>
    <w:p w14:paraId="1CD42AF0" w14:textId="127FECD1" w:rsidR="00DF5453" w:rsidRPr="00EF2430" w:rsidRDefault="003E6C57" w:rsidP="00DF5453">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5᾽-ATCTTTTGGGGTCCGTCAACT-3᾽; </w:t>
      </w:r>
    </w:p>
    <w:p w14:paraId="0F61B423" w14:textId="77777777" w:rsidR="00DF5453"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TNF-α forward, </w:t>
      </w:r>
    </w:p>
    <w:p w14:paraId="6A37CDFD" w14:textId="50ACC72C"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5᾽-CACAGAAAGCATGATCCGCG-3᾽, </w:t>
      </w:r>
    </w:p>
    <w:p w14:paraId="1A7E9A3A" w14:textId="77777777" w:rsidR="00DF5453"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TNF-α reverse, </w:t>
      </w:r>
    </w:p>
    <w:p w14:paraId="59B944DE" w14:textId="32484B54" w:rsidR="005F4A8F"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5᾽-GAGGCTGAGACATAGGCACC-3᾽.</w:t>
      </w:r>
      <w:r w:rsidR="005F4A8F" w:rsidRPr="00EF2430">
        <w:rPr>
          <w:rFonts w:ascii="Times New Roman" w:hAnsi="Times New Roman" w:cs="Times New Roman"/>
          <w:color w:val="000000" w:themeColor="text1"/>
          <w:sz w:val="24"/>
          <w:szCs w:val="24"/>
        </w:rPr>
        <w:t xml:space="preserve"> </w:t>
      </w:r>
    </w:p>
    <w:p w14:paraId="79E65F10" w14:textId="59317744"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RT-PCR amplification was performed in 45 cycles under the following conditions: 95 °C for 15 min, 95 °C for 15 s, 60 °C for 35 s, and 72 °C for 10 s.</w:t>
      </w:r>
    </w:p>
    <w:p w14:paraId="5A8161B7"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b/>
          <w:bCs/>
          <w:color w:val="000000" w:themeColor="text1"/>
          <w:sz w:val="24"/>
          <w:szCs w:val="24"/>
        </w:rPr>
      </w:pPr>
    </w:p>
    <w:p w14:paraId="15D9E832"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rPr>
      </w:pPr>
      <w:r w:rsidRPr="00EF2430">
        <w:rPr>
          <w:rFonts w:ascii="Times New Roman" w:hAnsi="Times New Roman" w:cs="Times New Roman"/>
          <w:b/>
          <w:bCs/>
          <w:i/>
          <w:iCs/>
          <w:color w:val="000000" w:themeColor="text1"/>
          <w:sz w:val="24"/>
          <w:szCs w:val="24"/>
        </w:rPr>
        <w:t xml:space="preserve">Histopathological assessment </w:t>
      </w:r>
    </w:p>
    <w:p w14:paraId="63AD718C" w14:textId="245ED505"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One part of the lung tissue was fixed in 10% formalin (Merck, Germany) and embedded in paraffin. Paraffin-embedded tissue sections (5 µm) were obtained and subjected to hematoxylin and eosin (H&amp;E, Merck, Germany) staining. These sections were then examined under a photomicroscope (Olympus, Japan) to detect congestion, inflammatory cell infiltration, and histopathological changes </w:t>
      </w:r>
      <w:r w:rsidRPr="00EF2430">
        <w:rPr>
          <w:rFonts w:ascii="Times New Roman" w:hAnsi="Times New Roman" w:cs="Times New Roman"/>
          <w:color w:val="000000" w:themeColor="text1"/>
          <w:sz w:val="24"/>
          <w:szCs w:val="24"/>
        </w:rPr>
        <w:fldChar w:fldCharType="begin" w:fldLock="1"/>
      </w:r>
      <w:r w:rsidRPr="00EF2430">
        <w:rPr>
          <w:rFonts w:ascii="Times New Roman" w:hAnsi="Times New Roman" w:cs="Times New Roman"/>
          <w:color w:val="000000" w:themeColor="text1"/>
          <w:sz w:val="24"/>
          <w:szCs w:val="24"/>
        </w:rPr>
        <w:instrText>ADDIN CSL_CITATION {"citationItems":[{"id":"ITEM-1","itemData":{"author":[{"dropping-particle":"","family":"Boroujeni","given":"Zeinab Zeinalian","non-dropping-particle":"","parse-names":false,"suffix":""},{"dropping-particle":"","family":"Khorsandi","given":"Layasadat","non-dropping-particle":"","parse-names":false,"suffix":""},{"dropping-particle":"","family":"Zeidooni","given":"Leila","non-dropping-particle":"","parse-names":false,"suffix":""},{"dropping-particle":"","family":"Badiee","given":"Mahdieh Sadat","non-dropping-particle":"","parse-names":false,"suffix":""},{"dropping-particle":"","family":"Khodayar","given":"Mohammad Javad","non-dropping-particle":"","parse-names":false,"suffix":""}],"container-title":"Reports of Biochemistry &amp; Molecular Biology","id":"ITEM-1","issue":"2","issued":{"date-parts":[["2024"]]},"page":"218","title":"Protocatechuic Acid Protects Mice Against Non-Alcoholic Fatty Liver Disease by Attenuating Oxidative Stress and Improving Lipid Profile","type":"article-journal","volume":"13"},"uris":["http://www.mendeley.com/documents/?uuid=f2d32338-806a-4766-aaac-baf1f6eb6c20"]}],"mendeley":{"formattedCitation":"(17)","plainTextFormattedCitation":"(17)","previouslyFormattedCitation":"(17)"},"properties":{"noteIndex":0},"schema":"https://github.com/citation-style-language/schema/raw/master/csl-citation.json"}</w:instrText>
      </w:r>
      <w:r w:rsidRPr="00EF2430">
        <w:rPr>
          <w:rFonts w:ascii="Times New Roman" w:hAnsi="Times New Roman" w:cs="Times New Roman"/>
          <w:color w:val="000000" w:themeColor="text1"/>
          <w:sz w:val="24"/>
          <w:szCs w:val="24"/>
        </w:rPr>
        <w:fldChar w:fldCharType="separate"/>
      </w:r>
      <w:r w:rsidRPr="00EF2430">
        <w:rPr>
          <w:rFonts w:ascii="Times New Roman" w:hAnsi="Times New Roman" w:cs="Times New Roman"/>
          <w:color w:val="000000" w:themeColor="text1"/>
          <w:sz w:val="24"/>
          <w:szCs w:val="24"/>
        </w:rPr>
        <w:t>(17)</w:t>
      </w:r>
      <w:r w:rsidRPr="00EF2430">
        <w:rPr>
          <w:rFonts w:ascii="Times New Roman" w:hAnsi="Times New Roman" w:cs="Times New Roman"/>
          <w:color w:val="000000" w:themeColor="text1"/>
          <w:sz w:val="24"/>
          <w:szCs w:val="24"/>
        </w:rPr>
        <w:fldChar w:fldCharType="end"/>
      </w:r>
      <w:r w:rsidRPr="00EF2430">
        <w:rPr>
          <w:rFonts w:ascii="Times New Roman" w:hAnsi="Times New Roman" w:cs="Times New Roman" w:hint="cs"/>
          <w:color w:val="000000" w:themeColor="text1"/>
          <w:sz w:val="24"/>
          <w:szCs w:val="24"/>
          <w:rtl/>
        </w:rPr>
        <w:t>.</w:t>
      </w:r>
    </w:p>
    <w:p w14:paraId="651EDBDC"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p>
    <w:p w14:paraId="0FE9E838"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rPr>
      </w:pPr>
      <w:r w:rsidRPr="00EF2430">
        <w:rPr>
          <w:rFonts w:ascii="Times New Roman" w:hAnsi="Times New Roman" w:cs="Times New Roman"/>
          <w:b/>
          <w:bCs/>
          <w:i/>
          <w:iCs/>
          <w:color w:val="000000" w:themeColor="text1"/>
          <w:sz w:val="24"/>
          <w:szCs w:val="24"/>
        </w:rPr>
        <w:t>Statistical analysis</w:t>
      </w:r>
    </w:p>
    <w:p w14:paraId="1B7E7673"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 xml:space="preserve">GraphPad Prism (version 9, CA, USA) was used for the data analysis. Results are expressed as mean ± SEM, and all statistical </w:t>
      </w:r>
      <w:r w:rsidRPr="00EF2430">
        <w:rPr>
          <w:rFonts w:ascii="Times New Roman" w:hAnsi="Times New Roman" w:cs="Times New Roman"/>
          <w:color w:val="000000" w:themeColor="text1"/>
          <w:sz w:val="24"/>
          <w:szCs w:val="24"/>
        </w:rPr>
        <w:t>comparisons were conducted using one-way ANOVA followed by Tukey’s post hoc analysis. Statistical significance was set at p&lt; 0.05.</w:t>
      </w:r>
    </w:p>
    <w:p w14:paraId="00EEFCAD" w14:textId="77777777" w:rsidR="004766A1" w:rsidRPr="00EF2430" w:rsidRDefault="004766A1" w:rsidP="004766A1">
      <w:pPr>
        <w:tabs>
          <w:tab w:val="left" w:pos="284"/>
        </w:tabs>
        <w:spacing w:after="0" w:line="240" w:lineRule="auto"/>
        <w:contextualSpacing/>
        <w:jc w:val="both"/>
        <w:outlineLvl w:val="0"/>
        <w:rPr>
          <w:rFonts w:ascii="Times New Roman" w:hAnsi="Times New Roman" w:cs="Times New Roman"/>
          <w:color w:val="000000" w:themeColor="text1"/>
          <w:sz w:val="24"/>
          <w:szCs w:val="24"/>
        </w:rPr>
      </w:pPr>
    </w:p>
    <w:p w14:paraId="1F1477BB" w14:textId="77777777" w:rsidR="004766A1" w:rsidRPr="00EF2430" w:rsidRDefault="004766A1" w:rsidP="004766A1">
      <w:pPr>
        <w:tabs>
          <w:tab w:val="left" w:pos="284"/>
        </w:tabs>
        <w:spacing w:before="240" w:after="0" w:line="240" w:lineRule="auto"/>
        <w:contextualSpacing/>
        <w:jc w:val="both"/>
        <w:outlineLvl w:val="0"/>
        <w:rPr>
          <w:rFonts w:ascii="Times New Roman" w:hAnsi="Times New Roman" w:cs="Times New Roman"/>
          <w:b/>
          <w:bCs/>
          <w:color w:val="000000" w:themeColor="text1"/>
          <w:sz w:val="28"/>
          <w:szCs w:val="28"/>
        </w:rPr>
      </w:pPr>
      <w:r w:rsidRPr="00EF2430">
        <w:rPr>
          <w:rFonts w:ascii="Times New Roman" w:hAnsi="Times New Roman" w:cs="Times New Roman"/>
          <w:b/>
          <w:bCs/>
          <w:color w:val="000000" w:themeColor="text1"/>
          <w:sz w:val="28"/>
          <w:szCs w:val="28"/>
        </w:rPr>
        <w:t>Results</w:t>
      </w:r>
    </w:p>
    <w:p w14:paraId="5CCC8E43" w14:textId="6FB34EFD"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r w:rsidRPr="00EF2430">
        <w:rPr>
          <w:rFonts w:ascii="Times New Roman" w:hAnsi="Times New Roman" w:cs="Times New Roman"/>
          <w:color w:val="000000" w:themeColor="text1"/>
          <w:sz w:val="24"/>
          <w:szCs w:val="24"/>
        </w:rPr>
        <w:t>No animal mortality due to PQ treatment was observed in the current study.</w:t>
      </w:r>
    </w:p>
    <w:p w14:paraId="4CEA2177"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rPr>
      </w:pPr>
    </w:p>
    <w:p w14:paraId="2E7A9933"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rPr>
      </w:pPr>
      <w:r w:rsidRPr="00EF2430">
        <w:rPr>
          <w:rFonts w:ascii="Times New Roman" w:hAnsi="Times New Roman" w:cs="Times New Roman"/>
          <w:b/>
          <w:bCs/>
          <w:i/>
          <w:iCs/>
          <w:color w:val="000000" w:themeColor="text1"/>
          <w:sz w:val="24"/>
          <w:szCs w:val="24"/>
        </w:rPr>
        <w:t xml:space="preserve">Results of TLR9, IL-1β, and TNF-α gene expression </w:t>
      </w:r>
    </w:p>
    <w:p w14:paraId="305412D8" w14:textId="4BCC95A1"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 xml:space="preserve">The RT-PCR assay evaluated TLR9, IL-1β, and TNF-α gene expression in lung tissue in the 6-day and 24-day studies. The PQ group exhibited significant changes in TLR9 gene expression compared with the control group in the 24-day study (p&lt; 0.05) (Fig. 1). </w:t>
      </w:r>
      <w:proofErr w:type="spellStart"/>
      <w:r w:rsidRPr="00EF2430">
        <w:rPr>
          <w:rFonts w:ascii="Times New Roman" w:hAnsi="Times New Roman" w:cs="Times New Roman"/>
          <w:color w:val="000000" w:themeColor="text1"/>
          <w:sz w:val="24"/>
          <w:szCs w:val="24"/>
        </w:rPr>
        <w:t>Rosmarinic</w:t>
      </w:r>
      <w:proofErr w:type="spellEnd"/>
      <w:r w:rsidRPr="00EF2430">
        <w:rPr>
          <w:rFonts w:ascii="Times New Roman" w:hAnsi="Times New Roman" w:cs="Times New Roman"/>
          <w:color w:val="000000" w:themeColor="text1"/>
          <w:sz w:val="24"/>
          <w:szCs w:val="24"/>
        </w:rPr>
        <w:t xml:space="preserve"> acid</w:t>
      </w:r>
      <w:r w:rsidRPr="00EF2430">
        <w:rPr>
          <w:rFonts w:ascii="Times New Roman" w:hAnsi="Times New Roman" w:cs="Times New Roman"/>
          <w:color w:val="000000" w:themeColor="text1"/>
          <w:sz w:val="24"/>
          <w:szCs w:val="24"/>
          <w:lang w:val="en"/>
        </w:rPr>
        <w:t xml:space="preserve"> (RA)</w:t>
      </w:r>
      <w:r w:rsidRPr="00EF2430">
        <w:rPr>
          <w:rFonts w:ascii="Times New Roman" w:hAnsi="Times New Roman" w:cs="Times New Roman"/>
          <w:color w:val="000000" w:themeColor="text1"/>
          <w:sz w:val="24"/>
          <w:szCs w:val="24"/>
          <w:lang w:val="en-GB"/>
        </w:rPr>
        <w:t xml:space="preserve"> administration (50 and 100 mg/kg) significantly reduced TLR9 expression compared to the PQ group (p&lt; 0.05 and p&lt; 0.01). These changes in gene expression in the RA-treated groups indicate the potential of RA to mitigate lung tissue damage. A substantial increase in IL-1β gene expression in the PQ group compared to the control group in the 6 and 24-day studies (p&lt; 0.001) (Fig. 2) was found. The RA-treated groups, at doses of 50 and 100 mg/kg, showed a significant decrease compared to the PQ group after 3 and 21 days of PQ exposure (p&lt;</w:t>
      </w:r>
      <w:r w:rsidR="005F4A8F" w:rsidRPr="00EF2430">
        <w:rPr>
          <w:rFonts w:ascii="Times New Roman" w:hAnsi="Times New Roman" w:cs="Times New Roman"/>
          <w:color w:val="000000" w:themeColor="text1"/>
          <w:sz w:val="24"/>
          <w:szCs w:val="24"/>
          <w:lang w:val="en-GB"/>
        </w:rPr>
        <w:t xml:space="preserve"> </w:t>
      </w:r>
      <w:r w:rsidRPr="00EF2430">
        <w:rPr>
          <w:rFonts w:ascii="Times New Roman" w:hAnsi="Times New Roman" w:cs="Times New Roman"/>
          <w:color w:val="000000" w:themeColor="text1"/>
          <w:sz w:val="24"/>
          <w:szCs w:val="24"/>
          <w:lang w:val="en-GB"/>
        </w:rPr>
        <w:t>0.001). This substantial decrease in gene expression in the RA-treated groups provides reassurance regarding the potential effectiveness of RA treatment strategies. A significant elevation in TNF-α gene expression was noted in the PQ group, in stark contrast to the control group, at both 6 and 24 days (p&lt; 0.001) (Fig. 3). RA-treated groups (50 and 100 mg/kg) exhibited a significant decrease compared to the PQ group (p&lt; 0.05, p&lt; 0.01 and p&lt; 0.001).</w:t>
      </w:r>
    </w:p>
    <w:p w14:paraId="633FDF1A"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p>
    <w:p w14:paraId="2463AFBA"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i/>
          <w:iCs/>
          <w:color w:val="000000" w:themeColor="text1"/>
          <w:sz w:val="24"/>
          <w:szCs w:val="24"/>
          <w:lang w:val="en-GB"/>
        </w:rPr>
      </w:pPr>
      <w:r w:rsidRPr="00EF2430">
        <w:rPr>
          <w:rFonts w:ascii="Times New Roman" w:hAnsi="Times New Roman" w:cs="Times New Roman"/>
          <w:b/>
          <w:bCs/>
          <w:i/>
          <w:iCs/>
          <w:color w:val="000000" w:themeColor="text1"/>
          <w:sz w:val="24"/>
          <w:szCs w:val="24"/>
          <w:lang w:val="en-GB"/>
        </w:rPr>
        <w:t>Histopathological examination</w:t>
      </w:r>
    </w:p>
    <w:p w14:paraId="4AB7144C" w14:textId="77777777" w:rsidR="00791015"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r w:rsidRPr="00EF2430">
        <w:rPr>
          <w:rFonts w:ascii="Times New Roman" w:hAnsi="Times New Roman" w:cs="Times New Roman"/>
          <w:color w:val="000000" w:themeColor="text1"/>
          <w:sz w:val="24"/>
          <w:szCs w:val="24"/>
          <w:lang w:val="en-GB"/>
        </w:rPr>
        <w:t xml:space="preserve">Histopathological analysis of the lungs of PQ-exposed mice revealed significant findings in both studies (Fig. 4, Tables 1 &amp; 2). Lesions, congestion, and inflammatory cell infiltration were observed in the PQ-exposed group. Lesions refer to any abnormality or damage in the tissue, congestion is the accumulation of </w:t>
      </w:r>
      <w:r w:rsidRPr="00EF2430">
        <w:rPr>
          <w:rFonts w:ascii="Times New Roman" w:hAnsi="Times New Roman" w:cs="Times New Roman"/>
          <w:color w:val="000000" w:themeColor="text1"/>
          <w:sz w:val="24"/>
          <w:szCs w:val="24"/>
          <w:lang w:val="en-GB"/>
        </w:rPr>
        <w:lastRenderedPageBreak/>
        <w:t>blood or fluid; and inflammatory cell infiltration is the migration of immune cells to the site of injury. In contrast, the lungs of the control groups (saline or RA 100 mg/kg) appeared normal without any abnormalities in either study. In the 24-day study, treatment with</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z w:val="24"/>
          <w:szCs w:val="24"/>
          <w:lang w:val="en-GB"/>
        </w:rPr>
        <w:t>RA</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z w:val="24"/>
          <w:szCs w:val="24"/>
          <w:lang w:val="en-GB"/>
        </w:rPr>
        <w:t>at</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z w:val="24"/>
          <w:szCs w:val="24"/>
          <w:lang w:val="en-GB"/>
        </w:rPr>
        <w:t>a</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z w:val="24"/>
          <w:szCs w:val="24"/>
          <w:lang w:val="en-GB"/>
        </w:rPr>
        <w:t>50</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z w:val="24"/>
          <w:szCs w:val="24"/>
          <w:lang w:val="en-GB"/>
        </w:rPr>
        <w:t>mg/kg</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z w:val="24"/>
          <w:szCs w:val="24"/>
          <w:lang w:val="en-GB"/>
        </w:rPr>
        <w:t>dose</w:t>
      </w:r>
      <w:r w:rsidR="00791015" w:rsidRPr="00EF2430">
        <w:rPr>
          <w:rFonts w:ascii="Times New Roman" w:hAnsi="Times New Roman" w:cs="Times New Roman"/>
          <w:color w:val="000000" w:themeColor="text1"/>
          <w:spacing w:val="80"/>
          <w:sz w:val="24"/>
          <w:szCs w:val="24"/>
        </w:rPr>
        <w:t xml:space="preserve"> </w:t>
      </w:r>
      <w:r w:rsidRPr="00EF2430">
        <w:rPr>
          <w:rFonts w:ascii="Times New Roman" w:hAnsi="Times New Roman" w:cs="Times New Roman"/>
          <w:color w:val="000000" w:themeColor="text1"/>
          <w:sz w:val="24"/>
          <w:szCs w:val="24"/>
          <w:lang w:val="en-GB"/>
        </w:rPr>
        <w:t xml:space="preserve">significantly </w:t>
      </w:r>
      <w:r w:rsidR="00791015" w:rsidRPr="00EF2430">
        <w:rPr>
          <w:rFonts w:ascii="Times New Roman" w:hAnsi="Times New Roman" w:cs="Times New Roman"/>
          <w:color w:val="000000" w:themeColor="text1"/>
          <w:sz w:val="24"/>
          <w:szCs w:val="24"/>
          <w:lang w:val="en-GB"/>
        </w:rPr>
        <w:br w:type="column"/>
      </w:r>
      <w:r w:rsidRPr="00EF2430">
        <w:rPr>
          <w:rFonts w:ascii="Times New Roman" w:hAnsi="Times New Roman" w:cs="Times New Roman"/>
          <w:color w:val="000000" w:themeColor="text1"/>
          <w:sz w:val="24"/>
          <w:szCs w:val="24"/>
          <w:lang w:val="en-GB"/>
        </w:rPr>
        <w:t>reduced PQ-induced congestion (p&lt; 0.01). However, in the 6-day study, the PQ + RA50 group showed improvement in inflammation (p&lt; 0.001). In the 6-day and 24-day studies, the PQ + RA100 group showed improvement in inflammatory cell infiltration and congestion (p&lt; 0.01, p&lt; 0.001). </w:t>
      </w:r>
    </w:p>
    <w:p w14:paraId="3F9EB333" w14:textId="77777777" w:rsidR="00DF5453" w:rsidRPr="00EF2430" w:rsidRDefault="00DF5453"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p>
    <w:p w14:paraId="4D79B38F" w14:textId="77777777" w:rsidR="00791015" w:rsidRPr="00EF2430" w:rsidRDefault="00791015"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sectPr w:rsidR="00791015" w:rsidRPr="00EF2430" w:rsidSect="004A75E8">
          <w:type w:val="continuous"/>
          <w:pgSz w:w="11907" w:h="16840" w:code="9"/>
          <w:pgMar w:top="1588" w:right="1134" w:bottom="1588" w:left="1134" w:header="680" w:footer="680" w:gutter="0"/>
          <w:cols w:num="2" w:space="720"/>
          <w:titlePg/>
          <w:docGrid w:linePitch="360"/>
        </w:sectPr>
      </w:pPr>
    </w:p>
    <w:p w14:paraId="4CCF16B3" w14:textId="772669CD" w:rsidR="004421F8" w:rsidRPr="00EF2430" w:rsidRDefault="00895470" w:rsidP="00190EFE">
      <w:pPr>
        <w:pStyle w:val="Newparagraph"/>
        <w:spacing w:line="240" w:lineRule="auto"/>
        <w:ind w:firstLine="0"/>
        <w:jc w:val="center"/>
        <w:rPr>
          <w:rFonts w:asciiTheme="majorBidi" w:hAnsiTheme="majorBidi" w:cstheme="majorBidi"/>
          <w:color w:val="000000" w:themeColor="text1"/>
        </w:rPr>
      </w:pPr>
      <w:r>
        <w:rPr>
          <w:rFonts w:asciiTheme="majorBidi" w:hAnsiTheme="majorBidi" w:cstheme="majorBidi"/>
          <w:noProof/>
          <w:color w:val="000000" w:themeColor="text1"/>
        </w:rPr>
        <w:pict w14:anchorId="752C5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73.5pt;height:198.75pt;mso-width-percent:0;mso-height-percent:0;mso-width-percent:0;mso-height-percent:0">
            <v:imagedata r:id="rId14" o:title="Fig 1" croptop="3606f" cropbottom="3297f" cropleft="-183f"/>
          </v:shape>
        </w:pict>
      </w:r>
    </w:p>
    <w:p w14:paraId="462602DB" w14:textId="2FE7E6D1" w:rsidR="00791015" w:rsidRPr="00EF2430" w:rsidRDefault="00791015" w:rsidP="004421F8">
      <w:pPr>
        <w:spacing w:after="0" w:line="240" w:lineRule="auto"/>
        <w:jc w:val="both"/>
        <w:rPr>
          <w:rFonts w:asciiTheme="majorBidi" w:hAnsiTheme="majorBidi" w:cstheme="majorBidi"/>
          <w:color w:val="000000" w:themeColor="text1"/>
        </w:rPr>
      </w:pPr>
      <w:r w:rsidRPr="00EF2430">
        <w:rPr>
          <w:rFonts w:asciiTheme="majorBidi" w:hAnsiTheme="majorBidi" w:cstheme="majorBidi"/>
          <w:b/>
          <w:bCs/>
          <w:color w:val="000000" w:themeColor="text1"/>
        </w:rPr>
        <w:t>Fig. 1.</w:t>
      </w:r>
      <w:r w:rsidRPr="00EF2430">
        <w:rPr>
          <w:rFonts w:asciiTheme="majorBidi" w:hAnsiTheme="majorBidi" w:cstheme="majorBidi"/>
          <w:color w:val="000000" w:themeColor="text1"/>
        </w:rPr>
        <w:t xml:space="preserve"> Comparison of TLR9 levels in lung tissue samples collected from mice 24 h after the last treatment. The relative changes in TLR9 levels were expressed as TLR9 to β-actin ratio. PQ: Paraquat, RA: </w:t>
      </w:r>
      <w:proofErr w:type="spellStart"/>
      <w:r w:rsidRPr="00EF2430">
        <w:rPr>
          <w:rFonts w:asciiTheme="majorBidi" w:hAnsiTheme="majorBidi" w:cstheme="majorBidi"/>
          <w:color w:val="000000" w:themeColor="text1"/>
        </w:rPr>
        <w:t>Rosmarinic</w:t>
      </w:r>
      <w:proofErr w:type="spellEnd"/>
      <w:r w:rsidRPr="00EF2430">
        <w:rPr>
          <w:rFonts w:asciiTheme="majorBidi" w:hAnsiTheme="majorBidi" w:cstheme="majorBidi"/>
          <w:color w:val="000000" w:themeColor="text1"/>
        </w:rPr>
        <w:t xml:space="preserve"> acid, TLR: Toll-like receptor. Each value represents the mean ± SEM (n=6). (*P&lt; 0.05 and ** P&lt; 0.01).</w:t>
      </w:r>
    </w:p>
    <w:p w14:paraId="33619DC3" w14:textId="77777777" w:rsidR="00DF5453" w:rsidRPr="00EF2430" w:rsidRDefault="00DF5453" w:rsidP="004421F8">
      <w:pPr>
        <w:spacing w:after="0" w:line="240" w:lineRule="auto"/>
        <w:jc w:val="both"/>
        <w:rPr>
          <w:rFonts w:asciiTheme="majorBidi" w:hAnsiTheme="majorBidi" w:cstheme="majorBidi"/>
          <w:color w:val="000000" w:themeColor="text1"/>
        </w:rPr>
      </w:pPr>
    </w:p>
    <w:p w14:paraId="14DB2C65" w14:textId="32764B16" w:rsidR="004421F8" w:rsidRPr="00EF2430" w:rsidRDefault="00895470" w:rsidP="00C44186">
      <w:pPr>
        <w:spacing w:after="0" w:line="240" w:lineRule="auto"/>
        <w:jc w:val="center"/>
        <w:rPr>
          <w:rFonts w:asciiTheme="majorBidi" w:hAnsiTheme="majorBidi" w:cstheme="majorBidi"/>
          <w:color w:val="000000" w:themeColor="text1"/>
        </w:rPr>
      </w:pPr>
      <w:r>
        <w:rPr>
          <w:rFonts w:asciiTheme="majorBidi" w:hAnsiTheme="majorBidi" w:cstheme="majorBidi"/>
          <w:noProof/>
          <w:color w:val="000000" w:themeColor="text1"/>
        </w:rPr>
        <w:pict w14:anchorId="5461896B">
          <v:shape id="_x0000_i1030" type="#_x0000_t75" alt="" style="width:371.25pt;height:198.75pt;mso-width-percent:0;mso-height-percent:0;mso-width-percent:0;mso-height-percent:0">
            <v:imagedata r:id="rId15" o:title="Fig 2" croptop="3285f" cropbottom="3635f" cropleft="-415f"/>
          </v:shape>
        </w:pict>
      </w:r>
    </w:p>
    <w:p w14:paraId="3B485A28" w14:textId="77777777" w:rsidR="00791015" w:rsidRPr="00EF2430" w:rsidRDefault="00791015" w:rsidP="00C44186">
      <w:pPr>
        <w:spacing w:after="0" w:line="240" w:lineRule="auto"/>
        <w:jc w:val="both"/>
        <w:rPr>
          <w:rFonts w:asciiTheme="majorBidi" w:hAnsiTheme="majorBidi" w:cstheme="majorBidi"/>
          <w:color w:val="000000" w:themeColor="text1"/>
        </w:rPr>
      </w:pPr>
      <w:r w:rsidRPr="00EF2430">
        <w:rPr>
          <w:rFonts w:asciiTheme="majorBidi" w:hAnsiTheme="majorBidi" w:cstheme="majorBidi"/>
          <w:b/>
          <w:bCs/>
          <w:color w:val="000000" w:themeColor="text1"/>
        </w:rPr>
        <w:t>Fig. 2.</w:t>
      </w:r>
      <w:r w:rsidRPr="00EF2430">
        <w:rPr>
          <w:rFonts w:asciiTheme="majorBidi" w:hAnsiTheme="majorBidi" w:cstheme="majorBidi"/>
          <w:color w:val="000000" w:themeColor="text1"/>
        </w:rPr>
        <w:t xml:space="preserve"> Comparison of IL-1β levels in lung tissue samples collected from mice 24 h after the last treatment. The relative changes in IL-1β levels were expressed as the IL-1β to β-actin ratio. PQ: Paraquat, RA: </w:t>
      </w:r>
      <w:proofErr w:type="spellStart"/>
      <w:r w:rsidRPr="00EF2430">
        <w:rPr>
          <w:rFonts w:asciiTheme="majorBidi" w:hAnsiTheme="majorBidi" w:cstheme="majorBidi"/>
          <w:color w:val="000000" w:themeColor="text1"/>
        </w:rPr>
        <w:t>Rosmarinic</w:t>
      </w:r>
      <w:proofErr w:type="spellEnd"/>
      <w:r w:rsidRPr="00EF2430">
        <w:rPr>
          <w:rFonts w:asciiTheme="majorBidi" w:hAnsiTheme="majorBidi" w:cstheme="majorBidi"/>
          <w:color w:val="000000" w:themeColor="text1"/>
        </w:rPr>
        <w:t xml:space="preserve"> acid, IL-1β: interleukin-1 beta. Each value represents the mean ± </w:t>
      </w:r>
      <w:bookmarkStart w:id="2" w:name="_GoBack"/>
      <w:r w:rsidRPr="00EF2430">
        <w:rPr>
          <w:rFonts w:asciiTheme="majorBidi" w:hAnsiTheme="majorBidi" w:cstheme="majorBidi"/>
          <w:color w:val="000000" w:themeColor="text1"/>
        </w:rPr>
        <w:t xml:space="preserve">SEM </w:t>
      </w:r>
      <w:bookmarkEnd w:id="2"/>
      <w:r w:rsidRPr="00EF2430">
        <w:rPr>
          <w:rFonts w:asciiTheme="majorBidi" w:hAnsiTheme="majorBidi" w:cstheme="majorBidi"/>
          <w:color w:val="000000" w:themeColor="text1"/>
        </w:rPr>
        <w:t xml:space="preserve">(n=6) (***p&lt; 0.001). </w:t>
      </w:r>
    </w:p>
    <w:p w14:paraId="61B7711E" w14:textId="60E3773B" w:rsidR="00791015" w:rsidRPr="00EF2430" w:rsidRDefault="00895470" w:rsidP="00C44186">
      <w:pPr>
        <w:spacing w:after="0" w:line="240" w:lineRule="auto"/>
        <w:jc w:val="center"/>
        <w:rPr>
          <w:rFonts w:asciiTheme="majorBidi" w:hAnsiTheme="majorBidi" w:cstheme="majorBidi"/>
          <w:lang w:val="en-GB" w:eastAsia="en-GB"/>
        </w:rPr>
      </w:pPr>
      <w:r>
        <w:rPr>
          <w:rFonts w:asciiTheme="majorBidi" w:hAnsiTheme="majorBidi" w:cstheme="majorBidi"/>
          <w:noProof/>
          <w:lang w:val="en-GB" w:eastAsia="en-GB"/>
        </w:rPr>
        <w:lastRenderedPageBreak/>
        <w:pict w14:anchorId="37D6C548">
          <v:shape id="_x0000_i1031" type="#_x0000_t75" alt="" style="width:397.5pt;height:198.75pt;mso-width-percent:0;mso-height-percent:0;mso-width-percent:0;mso-height-percent:0">
            <v:imagedata r:id="rId16" o:title="Fig 3" croptop="4184f" cropbottom="4175f" cropleft="61f"/>
          </v:shape>
        </w:pict>
      </w:r>
    </w:p>
    <w:p w14:paraId="557B7BC4" w14:textId="77777777" w:rsidR="00791015" w:rsidRPr="00EF2430" w:rsidRDefault="00791015" w:rsidP="00C44186">
      <w:pPr>
        <w:spacing w:after="0" w:line="240" w:lineRule="auto"/>
        <w:jc w:val="both"/>
        <w:rPr>
          <w:rFonts w:asciiTheme="majorBidi" w:hAnsiTheme="majorBidi" w:cstheme="majorBidi"/>
          <w:color w:val="000000" w:themeColor="text1"/>
        </w:rPr>
      </w:pPr>
      <w:r w:rsidRPr="00EF2430">
        <w:rPr>
          <w:rFonts w:asciiTheme="majorBidi" w:hAnsiTheme="majorBidi" w:cstheme="majorBidi"/>
          <w:b/>
          <w:bCs/>
          <w:color w:val="000000" w:themeColor="text1"/>
        </w:rPr>
        <w:t>Fig. 3.</w:t>
      </w:r>
      <w:r w:rsidRPr="00EF2430">
        <w:rPr>
          <w:rFonts w:asciiTheme="majorBidi" w:hAnsiTheme="majorBidi" w:cstheme="majorBidi"/>
          <w:color w:val="000000" w:themeColor="text1"/>
        </w:rPr>
        <w:t xml:space="preserve"> Comparison of TNF-α levels in lung tissue samples collected from mice 24 h after the last treatment. The relative changes in TNF-α levels were expressed as the TNF-α to β-actin ratio. PQ: Paraquat, RA: </w:t>
      </w:r>
      <w:proofErr w:type="spellStart"/>
      <w:r w:rsidRPr="00EF2430">
        <w:rPr>
          <w:rFonts w:asciiTheme="majorBidi" w:hAnsiTheme="majorBidi" w:cstheme="majorBidi"/>
          <w:color w:val="000000" w:themeColor="text1"/>
        </w:rPr>
        <w:t>Rosmarinic</w:t>
      </w:r>
      <w:proofErr w:type="spellEnd"/>
      <w:r w:rsidRPr="00EF2430">
        <w:rPr>
          <w:rFonts w:asciiTheme="majorBidi" w:hAnsiTheme="majorBidi" w:cstheme="majorBidi"/>
          <w:color w:val="000000" w:themeColor="text1"/>
        </w:rPr>
        <w:t xml:space="preserve"> acid, TNF-α: tumor necrosis factor alpha. Each value represents the mean ± SEM (n=6) (*p&lt; 0.05, **p&lt; 0.01 and *** p&lt; 0.001).</w:t>
      </w:r>
    </w:p>
    <w:p w14:paraId="4BB4931F" w14:textId="77777777" w:rsidR="00791015" w:rsidRPr="00EF2430" w:rsidRDefault="00791015" w:rsidP="00C44186">
      <w:pPr>
        <w:autoSpaceDE w:val="0"/>
        <w:autoSpaceDN w:val="0"/>
        <w:adjustRightInd w:val="0"/>
        <w:spacing w:after="0" w:line="240" w:lineRule="auto"/>
        <w:ind w:left="-426" w:right="-613"/>
        <w:jc w:val="center"/>
        <w:rPr>
          <w:rFonts w:asciiTheme="majorBidi" w:hAnsiTheme="majorBidi" w:cstheme="majorBidi"/>
        </w:rPr>
      </w:pPr>
      <w:r w:rsidRPr="00EF2430">
        <w:rPr>
          <w:rFonts w:asciiTheme="majorBidi" w:hAnsiTheme="majorBidi" w:cstheme="majorBidi"/>
          <w:noProof/>
          <w:lang w:val="en-GB" w:eastAsia="en-GB"/>
        </w:rPr>
        <w:drawing>
          <wp:inline distT="0" distB="0" distL="0" distR="0" wp14:anchorId="1BDB8565" wp14:editId="6D023514">
            <wp:extent cx="6232698" cy="2407138"/>
            <wp:effectExtent l="0" t="0" r="3175" b="6350"/>
            <wp:docPr id="5" name="Picture 5"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pic:cNvPicPr>
                      <a:picLocks noChangeAspect="1" noChangeArrowheads="1"/>
                    </pic:cNvPicPr>
                  </pic:nvPicPr>
                  <pic:blipFill rotWithShape="1">
                    <a:blip r:embed="rId17" cstate="hqprint">
                      <a:extLst>
                        <a:ext uri="{28A0092B-C50C-407E-A947-70E740481C1C}">
                          <a14:useLocalDpi xmlns:a14="http://schemas.microsoft.com/office/drawing/2010/main"/>
                        </a:ext>
                      </a:extLst>
                    </a:blip>
                    <a:srcRect t="-1" b="3162"/>
                    <a:stretch/>
                  </pic:blipFill>
                  <pic:spPr bwMode="auto">
                    <a:xfrm>
                      <a:off x="0" y="0"/>
                      <a:ext cx="6264441" cy="2419397"/>
                    </a:xfrm>
                    <a:prstGeom prst="rect">
                      <a:avLst/>
                    </a:prstGeom>
                    <a:noFill/>
                    <a:ln>
                      <a:noFill/>
                    </a:ln>
                    <a:extLst>
                      <a:ext uri="{53640926-AAD7-44D8-BBD7-CCE9431645EC}">
                        <a14:shadowObscured xmlns:a14="http://schemas.microsoft.com/office/drawing/2010/main"/>
                      </a:ext>
                    </a:extLst>
                  </pic:spPr>
                </pic:pic>
              </a:graphicData>
            </a:graphic>
          </wp:inline>
        </w:drawing>
      </w:r>
    </w:p>
    <w:p w14:paraId="42230DEB" w14:textId="77777777" w:rsidR="00DF5453" w:rsidRPr="00EF2430" w:rsidRDefault="00DF5453" w:rsidP="00C44186">
      <w:pPr>
        <w:spacing w:after="0" w:line="240" w:lineRule="auto"/>
        <w:jc w:val="both"/>
        <w:rPr>
          <w:rStyle w:val="tlid-translation"/>
          <w:rFonts w:asciiTheme="majorBidi" w:hAnsiTheme="majorBidi" w:cstheme="majorBidi"/>
          <w:b/>
          <w:bCs/>
          <w:lang w:val="en"/>
        </w:rPr>
      </w:pPr>
    </w:p>
    <w:p w14:paraId="05BAAA7C" w14:textId="77777777" w:rsidR="00DF5453" w:rsidRPr="00EF2430" w:rsidRDefault="00DF5453" w:rsidP="00C44186">
      <w:pPr>
        <w:spacing w:after="0" w:line="240" w:lineRule="auto"/>
        <w:jc w:val="both"/>
        <w:rPr>
          <w:rStyle w:val="tlid-translation"/>
          <w:rFonts w:asciiTheme="majorBidi" w:hAnsiTheme="majorBidi" w:cstheme="majorBidi"/>
          <w:b/>
          <w:bCs/>
          <w:lang w:val="en"/>
        </w:rPr>
      </w:pPr>
    </w:p>
    <w:p w14:paraId="697CFBFA" w14:textId="1DE56E06" w:rsidR="00791015" w:rsidRPr="00EF2430" w:rsidRDefault="00791015" w:rsidP="00C44186">
      <w:pPr>
        <w:spacing w:after="0" w:line="240" w:lineRule="auto"/>
        <w:jc w:val="both"/>
        <w:rPr>
          <w:rStyle w:val="A7"/>
          <w:rFonts w:asciiTheme="majorBidi" w:hAnsiTheme="majorBidi" w:cstheme="majorBidi"/>
          <w:color w:val="000000" w:themeColor="text1"/>
          <w:sz w:val="28"/>
          <w:szCs w:val="28"/>
        </w:rPr>
      </w:pPr>
      <w:r w:rsidRPr="00EF2430">
        <w:rPr>
          <w:rStyle w:val="tlid-translation"/>
          <w:rFonts w:asciiTheme="majorBidi" w:hAnsiTheme="majorBidi" w:cstheme="majorBidi"/>
          <w:b/>
          <w:bCs/>
          <w:lang w:val="en"/>
        </w:rPr>
        <w:t>Fig. 4.</w:t>
      </w:r>
      <w:r w:rsidRPr="00EF2430">
        <w:rPr>
          <w:rStyle w:val="tlid-translation"/>
          <w:rFonts w:asciiTheme="majorBidi" w:hAnsiTheme="majorBidi" w:cstheme="majorBidi"/>
          <w:lang w:val="en"/>
        </w:rPr>
        <w:t xml:space="preserve"> Histopathological observation of lung tissues was performed by staining with hematoxylin and eosin (H&amp;E, magnification 100x, scale bars 100 </w:t>
      </w:r>
      <w:proofErr w:type="spellStart"/>
      <w:r w:rsidRPr="00EF2430">
        <w:rPr>
          <w:rStyle w:val="tlid-translation"/>
          <w:rFonts w:asciiTheme="majorBidi" w:hAnsiTheme="majorBidi" w:cstheme="majorBidi"/>
          <w:lang w:val="en"/>
        </w:rPr>
        <w:t>μm</w:t>
      </w:r>
      <w:proofErr w:type="spellEnd"/>
      <w:r w:rsidRPr="00EF2430">
        <w:rPr>
          <w:rStyle w:val="tlid-translation"/>
          <w:rFonts w:asciiTheme="majorBidi" w:hAnsiTheme="majorBidi" w:cstheme="majorBidi"/>
          <w:lang w:val="en"/>
        </w:rPr>
        <w:t xml:space="preserve">). </w:t>
      </w:r>
      <w:r w:rsidRPr="00EF2430">
        <w:rPr>
          <w:rFonts w:asciiTheme="majorBidi" w:hAnsiTheme="majorBidi" w:cstheme="majorBidi"/>
          <w:color w:val="000000" w:themeColor="text1"/>
        </w:rPr>
        <w:t xml:space="preserve">PQ: Paraquat, RA: </w:t>
      </w:r>
      <w:proofErr w:type="spellStart"/>
      <w:r w:rsidRPr="00EF2430">
        <w:rPr>
          <w:rFonts w:asciiTheme="majorBidi" w:hAnsiTheme="majorBidi" w:cstheme="majorBidi"/>
          <w:color w:val="000000" w:themeColor="text1"/>
        </w:rPr>
        <w:t>Rosmarinic</w:t>
      </w:r>
      <w:proofErr w:type="spellEnd"/>
      <w:r w:rsidRPr="00EF2430">
        <w:rPr>
          <w:rFonts w:asciiTheme="majorBidi" w:hAnsiTheme="majorBidi" w:cstheme="majorBidi"/>
          <w:color w:val="000000" w:themeColor="text1"/>
        </w:rPr>
        <w:t xml:space="preserve"> acid</w:t>
      </w:r>
      <w:r w:rsidRPr="00EF2430">
        <w:rPr>
          <w:rStyle w:val="tlid-translation"/>
          <w:rFonts w:asciiTheme="majorBidi" w:hAnsiTheme="majorBidi" w:cstheme="majorBidi"/>
          <w:lang w:val="en"/>
        </w:rPr>
        <w:t>. Blue arrows: inflammatory cell infiltration, yellow arrows: congestion.</w:t>
      </w:r>
      <w:r w:rsidRPr="00EF2430">
        <w:rPr>
          <w:rStyle w:val="A7"/>
          <w:rFonts w:asciiTheme="majorBidi" w:hAnsiTheme="majorBidi" w:cstheme="majorBidi"/>
          <w:color w:val="000000" w:themeColor="text1"/>
          <w:sz w:val="28"/>
          <w:szCs w:val="28"/>
        </w:rPr>
        <w:t xml:space="preserve"> </w:t>
      </w:r>
    </w:p>
    <w:p w14:paraId="7ADB9F5A" w14:textId="77777777" w:rsidR="00791015" w:rsidRPr="00EF2430" w:rsidRDefault="00791015" w:rsidP="00C44186">
      <w:pPr>
        <w:spacing w:after="0" w:line="240" w:lineRule="auto"/>
        <w:ind w:right="-613"/>
        <w:jc w:val="center"/>
        <w:rPr>
          <w:rFonts w:asciiTheme="majorBidi" w:hAnsiTheme="majorBidi" w:cstheme="majorBidi"/>
          <w:color w:val="000000" w:themeColor="text1"/>
          <w:sz w:val="24"/>
          <w:szCs w:val="24"/>
        </w:rPr>
      </w:pPr>
      <w:r w:rsidRPr="00EF2430">
        <w:rPr>
          <w:rFonts w:asciiTheme="majorBidi" w:hAnsiTheme="majorBidi" w:cstheme="majorBidi"/>
          <w:noProof/>
          <w:color w:val="000000" w:themeColor="text1"/>
          <w:sz w:val="24"/>
          <w:szCs w:val="24"/>
          <w:lang w:val="en-GB" w:eastAsia="en-GB"/>
        </w:rPr>
        <w:drawing>
          <wp:inline distT="0" distB="0" distL="0" distR="0" wp14:anchorId="418ECDA6" wp14:editId="4D21D285">
            <wp:extent cx="5717540" cy="2228850"/>
            <wp:effectExtent l="0" t="0" r="0" b="0"/>
            <wp:docPr id="4" name="Picture 4"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5"/>
                    <pic:cNvPicPr>
                      <a:picLocks noChangeAspect="1" noChangeArrowheads="1"/>
                    </pic:cNvPicPr>
                  </pic:nvPicPr>
                  <pic:blipFill rotWithShape="1">
                    <a:blip r:embed="rId18" cstate="hqprint">
                      <a:extLst>
                        <a:ext uri="{28A0092B-C50C-407E-A947-70E740481C1C}">
                          <a14:useLocalDpi xmlns:a14="http://schemas.microsoft.com/office/drawing/2010/main"/>
                        </a:ext>
                      </a:extLst>
                    </a:blip>
                    <a:srcRect t="7701" b="10385"/>
                    <a:stretch/>
                  </pic:blipFill>
                  <pic:spPr bwMode="auto">
                    <a:xfrm>
                      <a:off x="0" y="0"/>
                      <a:ext cx="571754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567D315C" w14:textId="77777777" w:rsidR="00791015" w:rsidRPr="00EF2430" w:rsidRDefault="00791015" w:rsidP="00C44186">
      <w:pPr>
        <w:spacing w:after="0" w:line="240" w:lineRule="auto"/>
        <w:jc w:val="both"/>
        <w:rPr>
          <w:rFonts w:asciiTheme="majorBidi" w:hAnsiTheme="majorBidi" w:cstheme="majorBidi"/>
          <w:lang w:val="en"/>
        </w:rPr>
      </w:pPr>
      <w:r w:rsidRPr="00EF2430">
        <w:rPr>
          <w:rStyle w:val="tlid-translation"/>
          <w:rFonts w:asciiTheme="majorBidi" w:hAnsiTheme="majorBidi" w:cstheme="majorBidi"/>
          <w:lang w:val="en"/>
        </w:rPr>
        <w:t>Schematic timeline of the study to evaluate the effects of RA in preventing PQ-induced lung injury.</w:t>
      </w:r>
      <w:r w:rsidRPr="00EF2430">
        <w:t xml:space="preserve"> </w:t>
      </w:r>
      <w:r w:rsidRPr="00EF2430">
        <w:rPr>
          <w:rStyle w:val="tlid-translation"/>
          <w:rFonts w:asciiTheme="majorBidi" w:hAnsiTheme="majorBidi" w:cstheme="majorBidi"/>
          <w:lang w:val="en"/>
        </w:rPr>
        <w:t xml:space="preserve">PQ: Paraquat, RA: </w:t>
      </w:r>
      <w:proofErr w:type="spellStart"/>
      <w:r w:rsidRPr="00EF2430">
        <w:rPr>
          <w:rStyle w:val="tlid-translation"/>
          <w:rFonts w:asciiTheme="majorBidi" w:hAnsiTheme="majorBidi" w:cstheme="majorBidi"/>
          <w:lang w:val="en"/>
        </w:rPr>
        <w:t>Rosmarinic</w:t>
      </w:r>
      <w:proofErr w:type="spellEnd"/>
      <w:r w:rsidRPr="00EF2430">
        <w:rPr>
          <w:rStyle w:val="tlid-translation"/>
          <w:rFonts w:asciiTheme="majorBidi" w:hAnsiTheme="majorBidi" w:cstheme="majorBidi"/>
          <w:lang w:val="en"/>
        </w:rPr>
        <w:t xml:space="preserve"> acid.</w:t>
      </w:r>
    </w:p>
    <w:p w14:paraId="248070DD" w14:textId="77777777" w:rsidR="00C44186" w:rsidRPr="00EF2430" w:rsidRDefault="00C44186" w:rsidP="005F4A8F">
      <w:pPr>
        <w:spacing w:after="0" w:line="240" w:lineRule="auto"/>
        <w:ind w:right="-340"/>
        <w:jc w:val="center"/>
        <w:rPr>
          <w:rFonts w:asciiTheme="majorBidi" w:hAnsiTheme="majorBidi" w:cstheme="majorBidi"/>
          <w:lang w:val="en-GB" w:eastAsia="en-GB"/>
        </w:rPr>
      </w:pPr>
      <w:r w:rsidRPr="00EF2430">
        <w:rPr>
          <w:rFonts w:asciiTheme="majorBidi" w:hAnsiTheme="majorBidi" w:cstheme="majorBidi"/>
          <w:b/>
          <w:bCs/>
          <w:lang w:val="en-GB" w:eastAsia="en-GB"/>
        </w:rPr>
        <w:lastRenderedPageBreak/>
        <w:t>Table 1.</w:t>
      </w:r>
      <w:r w:rsidRPr="00EF2430">
        <w:rPr>
          <w:rFonts w:asciiTheme="majorBidi" w:hAnsiTheme="majorBidi" w:cstheme="majorBidi"/>
          <w:lang w:val="en-GB" w:eastAsia="en-GB"/>
        </w:rPr>
        <w:t xml:space="preserve"> The effects of </w:t>
      </w:r>
      <w:r w:rsidRPr="00EF2430">
        <w:rPr>
          <w:rStyle w:val="tlid-translation"/>
          <w:rFonts w:asciiTheme="majorBidi" w:hAnsiTheme="majorBidi" w:cstheme="majorBidi"/>
          <w:lang w:val="en"/>
        </w:rPr>
        <w:t>PQ</w:t>
      </w:r>
      <w:r w:rsidRPr="00EF2430">
        <w:rPr>
          <w:rFonts w:asciiTheme="majorBidi" w:hAnsiTheme="majorBidi" w:cstheme="majorBidi"/>
          <w:lang w:val="en-GB" w:eastAsia="en-GB"/>
        </w:rPr>
        <w:t xml:space="preserve"> and RA on histopathological parameters in the 6-day study.</w:t>
      </w:r>
    </w:p>
    <w:tbl>
      <w:tblPr>
        <w:tblStyle w:val="PlainTable4"/>
        <w:tblW w:w="864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88"/>
        <w:gridCol w:w="2720"/>
        <w:gridCol w:w="2909"/>
        <w:gridCol w:w="830"/>
      </w:tblGrid>
      <w:tr w:rsidR="00C44186" w:rsidRPr="00EF2430" w14:paraId="469CB5CF" w14:textId="77777777" w:rsidTr="005F4A8F">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188" w:type="dxa"/>
            <w:shd w:val="clear" w:color="auto" w:fill="F2F2F2" w:themeFill="background1" w:themeFillShade="F2"/>
            <w:vAlign w:val="center"/>
          </w:tcPr>
          <w:p w14:paraId="6E768548"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Groups</w:t>
            </w:r>
          </w:p>
        </w:tc>
        <w:tc>
          <w:tcPr>
            <w:tcW w:w="2720" w:type="dxa"/>
            <w:shd w:val="clear" w:color="auto" w:fill="F2F2F2" w:themeFill="background1" w:themeFillShade="F2"/>
            <w:vAlign w:val="center"/>
          </w:tcPr>
          <w:p w14:paraId="53E4016F" w14:textId="77777777" w:rsidR="00C44186" w:rsidRPr="00EF2430" w:rsidRDefault="00C44186" w:rsidP="00C441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bookmarkStart w:id="3" w:name="OLE_LINK93"/>
            <w:r w:rsidRPr="00EF2430">
              <w:rPr>
                <w:rFonts w:asciiTheme="majorBidi" w:hAnsiTheme="majorBidi" w:cstheme="majorBidi"/>
              </w:rPr>
              <w:t>Congestion</w:t>
            </w:r>
            <w:bookmarkEnd w:id="3"/>
          </w:p>
        </w:tc>
        <w:tc>
          <w:tcPr>
            <w:tcW w:w="3739" w:type="dxa"/>
            <w:gridSpan w:val="2"/>
            <w:shd w:val="clear" w:color="auto" w:fill="F2F2F2" w:themeFill="background1" w:themeFillShade="F2"/>
            <w:vAlign w:val="center"/>
          </w:tcPr>
          <w:p w14:paraId="6D17D6EA" w14:textId="77777777" w:rsidR="00C44186" w:rsidRPr="00EF2430" w:rsidRDefault="00C44186" w:rsidP="00C441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EF2430">
              <w:rPr>
                <w:rFonts w:asciiTheme="majorBidi" w:hAnsiTheme="majorBidi" w:cstheme="majorBidi"/>
              </w:rPr>
              <w:t>Inflammatory cell infiltration</w:t>
            </w:r>
          </w:p>
        </w:tc>
      </w:tr>
      <w:tr w:rsidR="00C44186" w:rsidRPr="00EF2430" w14:paraId="287B01B2" w14:textId="77777777" w:rsidTr="005F4A8F">
        <w:trPr>
          <w:gridAfter w:val="1"/>
          <w:cnfStyle w:val="000000100000" w:firstRow="0" w:lastRow="0" w:firstColumn="0" w:lastColumn="0" w:oddVBand="0" w:evenVBand="0" w:oddHBand="1" w:evenHBand="0" w:firstRowFirstColumn="0" w:firstRowLastColumn="0" w:lastRowFirstColumn="0" w:lastRowLastColumn="0"/>
          <w:wAfter w:w="830" w:type="dxa"/>
          <w:trHeight w:val="284"/>
          <w:jc w:val="center"/>
        </w:trPr>
        <w:tc>
          <w:tcPr>
            <w:cnfStyle w:val="001000000000" w:firstRow="0" w:lastRow="0" w:firstColumn="1" w:lastColumn="0" w:oddVBand="0" w:evenVBand="0" w:oddHBand="0" w:evenHBand="0" w:firstRowFirstColumn="0" w:firstRowLastColumn="0" w:lastRowFirstColumn="0" w:lastRowLastColumn="0"/>
            <w:tcW w:w="2188" w:type="dxa"/>
            <w:shd w:val="clear" w:color="auto" w:fill="auto"/>
            <w:vAlign w:val="center"/>
          </w:tcPr>
          <w:p w14:paraId="04F7A822"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Control</w:t>
            </w:r>
          </w:p>
        </w:tc>
        <w:tc>
          <w:tcPr>
            <w:tcW w:w="2720" w:type="dxa"/>
            <w:shd w:val="clear" w:color="auto" w:fill="auto"/>
            <w:vAlign w:val="center"/>
          </w:tcPr>
          <w:p w14:paraId="2BF9E357"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0.07 ± 0.03</w:t>
            </w:r>
          </w:p>
        </w:tc>
        <w:tc>
          <w:tcPr>
            <w:tcW w:w="2909" w:type="dxa"/>
            <w:shd w:val="clear" w:color="auto" w:fill="auto"/>
            <w:vAlign w:val="center"/>
          </w:tcPr>
          <w:p w14:paraId="2C9342EB"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0.06 ± 0.02</w:t>
            </w:r>
          </w:p>
        </w:tc>
      </w:tr>
      <w:tr w:rsidR="00C44186" w:rsidRPr="00EF2430" w14:paraId="764057EB" w14:textId="77777777" w:rsidTr="005F4A8F">
        <w:trPr>
          <w:trHeight w:val="284"/>
          <w:jc w:val="center"/>
        </w:trPr>
        <w:tc>
          <w:tcPr>
            <w:cnfStyle w:val="001000000000" w:firstRow="0" w:lastRow="0" w:firstColumn="1" w:lastColumn="0" w:oddVBand="0" w:evenVBand="0" w:oddHBand="0" w:evenHBand="0" w:firstRowFirstColumn="0" w:firstRowLastColumn="0" w:lastRowFirstColumn="0" w:lastRowLastColumn="0"/>
            <w:tcW w:w="2188" w:type="dxa"/>
            <w:vAlign w:val="center"/>
          </w:tcPr>
          <w:p w14:paraId="11FCD8B7"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PQ</w:t>
            </w:r>
          </w:p>
        </w:tc>
        <w:tc>
          <w:tcPr>
            <w:tcW w:w="2720" w:type="dxa"/>
            <w:vAlign w:val="center"/>
          </w:tcPr>
          <w:p w14:paraId="2C12B029" w14:textId="77777777" w:rsidR="00C44186" w:rsidRPr="00EF2430" w:rsidRDefault="00C44186" w:rsidP="00C4418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1.52 ± 0.24***</w:t>
            </w:r>
          </w:p>
        </w:tc>
        <w:tc>
          <w:tcPr>
            <w:tcW w:w="3739" w:type="dxa"/>
            <w:gridSpan w:val="2"/>
            <w:vAlign w:val="center"/>
          </w:tcPr>
          <w:p w14:paraId="63FCD9E7" w14:textId="77777777" w:rsidR="00C44186" w:rsidRPr="00EF2430" w:rsidRDefault="00C44186" w:rsidP="00C4418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2.68 ± 0.38***</w:t>
            </w:r>
          </w:p>
        </w:tc>
      </w:tr>
      <w:tr w:rsidR="00C44186" w:rsidRPr="00EF2430" w14:paraId="7CD8CAF3" w14:textId="77777777" w:rsidTr="005F4A8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188" w:type="dxa"/>
            <w:shd w:val="clear" w:color="auto" w:fill="auto"/>
            <w:vAlign w:val="center"/>
          </w:tcPr>
          <w:p w14:paraId="1D79CCE2"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PQ +RA50</w:t>
            </w:r>
          </w:p>
        </w:tc>
        <w:tc>
          <w:tcPr>
            <w:tcW w:w="2720" w:type="dxa"/>
            <w:shd w:val="clear" w:color="auto" w:fill="auto"/>
            <w:vAlign w:val="center"/>
          </w:tcPr>
          <w:p w14:paraId="64B5ACFA"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1.43 ± 0.23</w:t>
            </w:r>
          </w:p>
        </w:tc>
        <w:tc>
          <w:tcPr>
            <w:tcW w:w="3739" w:type="dxa"/>
            <w:gridSpan w:val="2"/>
            <w:shd w:val="clear" w:color="auto" w:fill="auto"/>
            <w:vAlign w:val="center"/>
          </w:tcPr>
          <w:p w14:paraId="28B9D979"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1.18 ± 0.24###</w:t>
            </w:r>
          </w:p>
        </w:tc>
      </w:tr>
      <w:tr w:rsidR="00C44186" w:rsidRPr="00EF2430" w14:paraId="63D73A76" w14:textId="77777777" w:rsidTr="005F4A8F">
        <w:trPr>
          <w:trHeight w:val="284"/>
          <w:jc w:val="center"/>
        </w:trPr>
        <w:tc>
          <w:tcPr>
            <w:cnfStyle w:val="001000000000" w:firstRow="0" w:lastRow="0" w:firstColumn="1" w:lastColumn="0" w:oddVBand="0" w:evenVBand="0" w:oddHBand="0" w:evenHBand="0" w:firstRowFirstColumn="0" w:firstRowLastColumn="0" w:lastRowFirstColumn="0" w:lastRowLastColumn="0"/>
            <w:tcW w:w="2188" w:type="dxa"/>
            <w:vAlign w:val="center"/>
          </w:tcPr>
          <w:p w14:paraId="23EEBDDF"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PQ + RA100</w:t>
            </w:r>
          </w:p>
        </w:tc>
        <w:tc>
          <w:tcPr>
            <w:tcW w:w="2720" w:type="dxa"/>
            <w:vAlign w:val="center"/>
          </w:tcPr>
          <w:p w14:paraId="18F6D594" w14:textId="77777777" w:rsidR="00C44186" w:rsidRPr="00EF2430" w:rsidRDefault="00C44186" w:rsidP="00C4418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0.36 ± 0.06###</w:t>
            </w:r>
          </w:p>
        </w:tc>
        <w:tc>
          <w:tcPr>
            <w:tcW w:w="3739" w:type="dxa"/>
            <w:gridSpan w:val="2"/>
            <w:vAlign w:val="center"/>
          </w:tcPr>
          <w:p w14:paraId="506C3FC5" w14:textId="77777777" w:rsidR="00C44186" w:rsidRPr="00EF2430" w:rsidRDefault="00C44186" w:rsidP="00C4418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0.21 ± 0.03###</w:t>
            </w:r>
          </w:p>
        </w:tc>
      </w:tr>
      <w:tr w:rsidR="00C44186" w:rsidRPr="00EF2430" w14:paraId="4130307E" w14:textId="77777777" w:rsidTr="005F4A8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188" w:type="dxa"/>
            <w:shd w:val="clear" w:color="auto" w:fill="auto"/>
            <w:vAlign w:val="center"/>
          </w:tcPr>
          <w:p w14:paraId="52EAAF29" w14:textId="77777777" w:rsidR="00C44186" w:rsidRPr="00EF2430" w:rsidRDefault="00C44186" w:rsidP="00C44186">
            <w:pPr>
              <w:jc w:val="center"/>
              <w:rPr>
                <w:rFonts w:asciiTheme="majorBidi" w:hAnsiTheme="majorBidi" w:cstheme="majorBidi"/>
              </w:rPr>
            </w:pPr>
            <w:r w:rsidRPr="00EF2430">
              <w:rPr>
                <w:rFonts w:asciiTheme="majorBidi" w:hAnsiTheme="majorBidi" w:cstheme="majorBidi"/>
              </w:rPr>
              <w:t>RA100</w:t>
            </w:r>
          </w:p>
        </w:tc>
        <w:tc>
          <w:tcPr>
            <w:tcW w:w="2720" w:type="dxa"/>
            <w:shd w:val="clear" w:color="auto" w:fill="auto"/>
            <w:vAlign w:val="center"/>
          </w:tcPr>
          <w:p w14:paraId="104EA01F"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0.05 ± 0.01</w:t>
            </w:r>
          </w:p>
        </w:tc>
        <w:tc>
          <w:tcPr>
            <w:tcW w:w="3739" w:type="dxa"/>
            <w:gridSpan w:val="2"/>
            <w:shd w:val="clear" w:color="auto" w:fill="auto"/>
            <w:vAlign w:val="center"/>
          </w:tcPr>
          <w:p w14:paraId="33619224"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0.03 ± 0.00</w:t>
            </w:r>
          </w:p>
        </w:tc>
      </w:tr>
    </w:tbl>
    <w:p w14:paraId="70C11B33" w14:textId="320D15DA" w:rsidR="00C44186" w:rsidRPr="00EF2430" w:rsidRDefault="00C44186" w:rsidP="00C44186">
      <w:pPr>
        <w:spacing w:after="0" w:line="240" w:lineRule="auto"/>
        <w:jc w:val="both"/>
        <w:rPr>
          <w:rStyle w:val="tlid-translation"/>
          <w:rFonts w:asciiTheme="majorBidi" w:hAnsiTheme="majorBidi" w:cstheme="majorBidi"/>
          <w:lang w:val="en"/>
        </w:rPr>
      </w:pPr>
      <w:r w:rsidRPr="00EF2430">
        <w:rPr>
          <w:rStyle w:val="tlid-translation"/>
          <w:rFonts w:asciiTheme="majorBidi" w:hAnsiTheme="majorBidi" w:cstheme="majorBidi"/>
          <w:lang w:val="en"/>
        </w:rPr>
        <w:t xml:space="preserve">PQ: Paraquat, RA: </w:t>
      </w:r>
      <w:proofErr w:type="spellStart"/>
      <w:r w:rsidRPr="00EF2430">
        <w:rPr>
          <w:rStyle w:val="tlid-translation"/>
          <w:rFonts w:asciiTheme="majorBidi" w:hAnsiTheme="majorBidi" w:cstheme="majorBidi"/>
          <w:lang w:val="en"/>
        </w:rPr>
        <w:t>Rosmarinic</w:t>
      </w:r>
      <w:proofErr w:type="spellEnd"/>
      <w:r w:rsidRPr="00EF2430">
        <w:rPr>
          <w:rStyle w:val="tlid-translation"/>
          <w:rFonts w:asciiTheme="majorBidi" w:hAnsiTheme="majorBidi" w:cstheme="majorBidi"/>
          <w:lang w:val="en"/>
        </w:rPr>
        <w:t xml:space="preserve"> acid. Each value represents the mean ± SEM (n=6). * Statistical differences vs. control group (***p&lt; 0.001), # statistical differences vs. PQ group (### p&lt; 0.001).</w:t>
      </w:r>
    </w:p>
    <w:p w14:paraId="3B0C17B9" w14:textId="59F6F1A4" w:rsidR="00C44186" w:rsidRPr="00EF2430" w:rsidRDefault="00C44186" w:rsidP="00C44186">
      <w:pPr>
        <w:spacing w:after="0" w:line="240" w:lineRule="auto"/>
        <w:jc w:val="both"/>
        <w:rPr>
          <w:rStyle w:val="tlid-translation"/>
          <w:rFonts w:asciiTheme="majorBidi" w:hAnsiTheme="majorBidi" w:cstheme="majorBidi"/>
          <w:lang w:val="en"/>
        </w:rPr>
      </w:pPr>
    </w:p>
    <w:p w14:paraId="32E611AE" w14:textId="77777777" w:rsidR="00C44186" w:rsidRPr="00EF2430" w:rsidRDefault="00C44186" w:rsidP="00C44186">
      <w:pPr>
        <w:autoSpaceDE w:val="0"/>
        <w:autoSpaceDN w:val="0"/>
        <w:adjustRightInd w:val="0"/>
        <w:spacing w:after="0" w:line="240" w:lineRule="auto"/>
        <w:ind w:right="-613"/>
        <w:rPr>
          <w:rFonts w:asciiTheme="majorBidi" w:hAnsiTheme="majorBidi" w:cstheme="majorBidi"/>
        </w:rPr>
      </w:pPr>
      <w:r w:rsidRPr="00EF2430">
        <w:rPr>
          <w:rFonts w:asciiTheme="majorBidi" w:hAnsiTheme="majorBidi" w:cstheme="majorBidi"/>
          <w:b/>
          <w:bCs/>
          <w:lang w:val="en-GB" w:eastAsia="en-GB"/>
        </w:rPr>
        <w:t>Table 2.</w:t>
      </w:r>
      <w:r w:rsidRPr="00EF2430">
        <w:rPr>
          <w:rFonts w:asciiTheme="majorBidi" w:hAnsiTheme="majorBidi" w:cstheme="majorBidi"/>
          <w:lang w:val="en-GB" w:eastAsia="en-GB"/>
        </w:rPr>
        <w:t xml:space="preserve"> The effects of PQ and RA on histopathological parameters in the 24-day study.</w:t>
      </w:r>
    </w:p>
    <w:p w14:paraId="3F410944" w14:textId="77777777" w:rsidR="00C44186" w:rsidRPr="00EF2430" w:rsidRDefault="00C44186" w:rsidP="00C44186">
      <w:pPr>
        <w:spacing w:after="0" w:line="240" w:lineRule="auto"/>
        <w:jc w:val="both"/>
        <w:rPr>
          <w:rFonts w:asciiTheme="majorBidi" w:hAnsiTheme="majorBidi" w:cstheme="majorBidi"/>
          <w:lang w:val="en"/>
        </w:rPr>
      </w:pPr>
      <w:r w:rsidRPr="00EF2430">
        <w:rPr>
          <w:rStyle w:val="tlid-translation"/>
          <w:rFonts w:asciiTheme="majorBidi" w:hAnsiTheme="majorBidi" w:cstheme="majorBidi"/>
          <w:lang w:val="en"/>
        </w:rPr>
        <w:t xml:space="preserve">PQ: Paraquat, RA: </w:t>
      </w:r>
      <w:proofErr w:type="spellStart"/>
      <w:r w:rsidRPr="00EF2430">
        <w:rPr>
          <w:rStyle w:val="tlid-translation"/>
          <w:rFonts w:asciiTheme="majorBidi" w:hAnsiTheme="majorBidi" w:cstheme="majorBidi"/>
          <w:lang w:val="en"/>
        </w:rPr>
        <w:t>Rosmarinic</w:t>
      </w:r>
      <w:proofErr w:type="spellEnd"/>
      <w:r w:rsidRPr="00EF2430">
        <w:rPr>
          <w:rStyle w:val="tlid-translation"/>
          <w:rFonts w:asciiTheme="majorBidi" w:hAnsiTheme="majorBidi" w:cstheme="majorBidi"/>
          <w:lang w:val="en"/>
        </w:rPr>
        <w:t xml:space="preserve"> acid. Each value represents the mean ± SEM (n=6). * Statistical differences vs. control group (**p&lt; 0.01, ***p&lt; 0.001). # statistical differences vs. PQ group (## p&lt; 0.01, ### p&lt; 0.001).</w:t>
      </w:r>
    </w:p>
    <w:tbl>
      <w:tblPr>
        <w:tblStyle w:val="PlainTable4"/>
        <w:tblW w:w="864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46"/>
        <w:gridCol w:w="2599"/>
        <w:gridCol w:w="170"/>
        <w:gridCol w:w="3233"/>
      </w:tblGrid>
      <w:tr w:rsidR="00C44186" w:rsidRPr="00EF2430" w14:paraId="31BFB51F" w14:textId="77777777" w:rsidTr="005F4A8F">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646" w:type="dxa"/>
            <w:shd w:val="pct5" w:color="auto" w:fill="auto"/>
            <w:vAlign w:val="center"/>
          </w:tcPr>
          <w:p w14:paraId="3F991E2A"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Groups</w:t>
            </w:r>
          </w:p>
        </w:tc>
        <w:tc>
          <w:tcPr>
            <w:tcW w:w="2599" w:type="dxa"/>
            <w:shd w:val="pct5" w:color="auto" w:fill="auto"/>
            <w:vAlign w:val="center"/>
          </w:tcPr>
          <w:p w14:paraId="70270121" w14:textId="77777777" w:rsidR="00C44186" w:rsidRPr="00EF2430" w:rsidRDefault="00C44186" w:rsidP="00C441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EF2430">
              <w:rPr>
                <w:rFonts w:asciiTheme="majorBidi" w:hAnsiTheme="majorBidi" w:cstheme="majorBidi"/>
              </w:rPr>
              <w:t>Congestion</w:t>
            </w:r>
          </w:p>
        </w:tc>
        <w:tc>
          <w:tcPr>
            <w:tcW w:w="3403" w:type="dxa"/>
            <w:gridSpan w:val="2"/>
            <w:shd w:val="pct5" w:color="auto" w:fill="auto"/>
            <w:vAlign w:val="center"/>
          </w:tcPr>
          <w:p w14:paraId="236340F5" w14:textId="77777777" w:rsidR="00C44186" w:rsidRPr="00EF2430" w:rsidRDefault="00C44186" w:rsidP="00C4418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EF2430">
              <w:rPr>
                <w:rFonts w:asciiTheme="majorBidi" w:hAnsiTheme="majorBidi" w:cstheme="majorBidi"/>
              </w:rPr>
              <w:t>Inflammatory cell infiltration</w:t>
            </w:r>
          </w:p>
        </w:tc>
      </w:tr>
      <w:tr w:rsidR="00C44186" w:rsidRPr="00EF2430" w14:paraId="1D7D7084" w14:textId="77777777" w:rsidTr="005F4A8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vAlign w:val="center"/>
          </w:tcPr>
          <w:p w14:paraId="22942FFE"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Control</w:t>
            </w:r>
          </w:p>
        </w:tc>
        <w:tc>
          <w:tcPr>
            <w:tcW w:w="2599" w:type="dxa"/>
            <w:shd w:val="clear" w:color="auto" w:fill="auto"/>
            <w:vAlign w:val="center"/>
          </w:tcPr>
          <w:p w14:paraId="2A01F2ED"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0.07 ± 0.02</w:t>
            </w:r>
          </w:p>
        </w:tc>
        <w:tc>
          <w:tcPr>
            <w:tcW w:w="3403" w:type="dxa"/>
            <w:gridSpan w:val="2"/>
            <w:shd w:val="clear" w:color="auto" w:fill="auto"/>
            <w:vAlign w:val="center"/>
          </w:tcPr>
          <w:p w14:paraId="27D124CC"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0.05 ± 0.02</w:t>
            </w:r>
          </w:p>
        </w:tc>
      </w:tr>
      <w:tr w:rsidR="00C44186" w:rsidRPr="00EF2430" w14:paraId="1CBA1AF2" w14:textId="77777777" w:rsidTr="005F4A8F">
        <w:trPr>
          <w:trHeight w:val="284"/>
          <w:jc w:val="center"/>
        </w:trPr>
        <w:tc>
          <w:tcPr>
            <w:cnfStyle w:val="001000000000" w:firstRow="0" w:lastRow="0" w:firstColumn="1" w:lastColumn="0" w:oddVBand="0" w:evenVBand="0" w:oddHBand="0" w:evenHBand="0" w:firstRowFirstColumn="0" w:firstRowLastColumn="0" w:lastRowFirstColumn="0" w:lastRowLastColumn="0"/>
            <w:tcW w:w="2646" w:type="dxa"/>
            <w:vAlign w:val="center"/>
          </w:tcPr>
          <w:p w14:paraId="70523996"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PQ</w:t>
            </w:r>
          </w:p>
        </w:tc>
        <w:tc>
          <w:tcPr>
            <w:tcW w:w="2769" w:type="dxa"/>
            <w:gridSpan w:val="2"/>
            <w:vAlign w:val="center"/>
          </w:tcPr>
          <w:p w14:paraId="1D783431" w14:textId="77777777" w:rsidR="00C44186" w:rsidRPr="00EF2430" w:rsidRDefault="00C44186" w:rsidP="00C4418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2.76 ± 0.31***</w:t>
            </w:r>
          </w:p>
        </w:tc>
        <w:tc>
          <w:tcPr>
            <w:tcW w:w="3233" w:type="dxa"/>
            <w:vAlign w:val="center"/>
          </w:tcPr>
          <w:p w14:paraId="277709A7" w14:textId="77777777" w:rsidR="00C44186" w:rsidRPr="00EF2430" w:rsidRDefault="00C44186" w:rsidP="00C4418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1.15 ± 0.24**</w:t>
            </w:r>
          </w:p>
        </w:tc>
      </w:tr>
      <w:tr w:rsidR="00C44186" w:rsidRPr="00EF2430" w14:paraId="740D9CCD" w14:textId="77777777" w:rsidTr="005F4A8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vAlign w:val="center"/>
          </w:tcPr>
          <w:p w14:paraId="2AA87023"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PQ + RA50</w:t>
            </w:r>
          </w:p>
        </w:tc>
        <w:tc>
          <w:tcPr>
            <w:tcW w:w="2769" w:type="dxa"/>
            <w:gridSpan w:val="2"/>
            <w:shd w:val="clear" w:color="auto" w:fill="auto"/>
            <w:vAlign w:val="center"/>
          </w:tcPr>
          <w:p w14:paraId="1AE2A75D"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1.54 ± 0.28##</w:t>
            </w:r>
          </w:p>
        </w:tc>
        <w:tc>
          <w:tcPr>
            <w:tcW w:w="3233" w:type="dxa"/>
            <w:shd w:val="clear" w:color="auto" w:fill="auto"/>
            <w:vAlign w:val="center"/>
          </w:tcPr>
          <w:p w14:paraId="043B5A8E"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0.48 ± 0.14</w:t>
            </w:r>
          </w:p>
        </w:tc>
      </w:tr>
      <w:tr w:rsidR="00C44186" w:rsidRPr="00EF2430" w14:paraId="5A0FE394" w14:textId="77777777" w:rsidTr="005F4A8F">
        <w:trPr>
          <w:trHeight w:val="284"/>
          <w:jc w:val="center"/>
        </w:trPr>
        <w:tc>
          <w:tcPr>
            <w:cnfStyle w:val="001000000000" w:firstRow="0" w:lastRow="0" w:firstColumn="1" w:lastColumn="0" w:oddVBand="0" w:evenVBand="0" w:oddHBand="0" w:evenHBand="0" w:firstRowFirstColumn="0" w:firstRowLastColumn="0" w:lastRowFirstColumn="0" w:lastRowLastColumn="0"/>
            <w:tcW w:w="2646" w:type="dxa"/>
            <w:vAlign w:val="center"/>
          </w:tcPr>
          <w:p w14:paraId="49454C8C" w14:textId="77777777" w:rsidR="00C44186" w:rsidRPr="00EF2430" w:rsidRDefault="00C44186" w:rsidP="00C44186">
            <w:pPr>
              <w:jc w:val="center"/>
              <w:rPr>
                <w:rFonts w:asciiTheme="majorBidi" w:hAnsiTheme="majorBidi" w:cstheme="majorBidi"/>
                <w:b w:val="0"/>
                <w:bCs w:val="0"/>
              </w:rPr>
            </w:pPr>
            <w:r w:rsidRPr="00EF2430">
              <w:rPr>
                <w:rFonts w:asciiTheme="majorBidi" w:hAnsiTheme="majorBidi" w:cstheme="majorBidi"/>
              </w:rPr>
              <w:t>PQ + RA100</w:t>
            </w:r>
          </w:p>
        </w:tc>
        <w:tc>
          <w:tcPr>
            <w:tcW w:w="2769" w:type="dxa"/>
            <w:gridSpan w:val="2"/>
            <w:vAlign w:val="center"/>
          </w:tcPr>
          <w:p w14:paraId="02967C3E" w14:textId="77777777" w:rsidR="00C44186" w:rsidRPr="00EF2430" w:rsidRDefault="00C44186" w:rsidP="00C4418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1.01 ± 0.18###</w:t>
            </w:r>
          </w:p>
        </w:tc>
        <w:tc>
          <w:tcPr>
            <w:tcW w:w="3233" w:type="dxa"/>
            <w:vAlign w:val="center"/>
          </w:tcPr>
          <w:p w14:paraId="622900C8" w14:textId="77777777" w:rsidR="00C44186" w:rsidRPr="00EF2430" w:rsidRDefault="00C44186" w:rsidP="00C4418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0.12 ± 0.24##</w:t>
            </w:r>
          </w:p>
        </w:tc>
      </w:tr>
      <w:tr w:rsidR="00C44186" w:rsidRPr="00EF2430" w14:paraId="58143FD6" w14:textId="77777777" w:rsidTr="005F4A8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46" w:type="dxa"/>
            <w:shd w:val="clear" w:color="auto" w:fill="auto"/>
            <w:vAlign w:val="center"/>
          </w:tcPr>
          <w:p w14:paraId="2E9A9D54" w14:textId="77777777" w:rsidR="00C44186" w:rsidRPr="00EF2430" w:rsidRDefault="00C44186" w:rsidP="00C44186">
            <w:pPr>
              <w:jc w:val="center"/>
              <w:rPr>
                <w:rFonts w:asciiTheme="majorBidi" w:hAnsiTheme="majorBidi" w:cstheme="majorBidi"/>
              </w:rPr>
            </w:pPr>
            <w:r w:rsidRPr="00EF2430">
              <w:rPr>
                <w:rFonts w:asciiTheme="majorBidi" w:hAnsiTheme="majorBidi" w:cstheme="majorBidi"/>
              </w:rPr>
              <w:t>RA100</w:t>
            </w:r>
          </w:p>
        </w:tc>
        <w:tc>
          <w:tcPr>
            <w:tcW w:w="2769" w:type="dxa"/>
            <w:gridSpan w:val="2"/>
            <w:shd w:val="clear" w:color="auto" w:fill="auto"/>
            <w:vAlign w:val="center"/>
          </w:tcPr>
          <w:p w14:paraId="7C925CF4"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0.06 ± 0.02</w:t>
            </w:r>
          </w:p>
        </w:tc>
        <w:tc>
          <w:tcPr>
            <w:tcW w:w="3233" w:type="dxa"/>
            <w:shd w:val="clear" w:color="auto" w:fill="auto"/>
            <w:vAlign w:val="center"/>
          </w:tcPr>
          <w:p w14:paraId="1604FABF" w14:textId="77777777" w:rsidR="00C44186" w:rsidRPr="00EF2430" w:rsidRDefault="00C44186" w:rsidP="00C4418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F2430">
              <w:rPr>
                <w:rFonts w:asciiTheme="majorBidi" w:hAnsiTheme="majorBidi" w:cstheme="majorBidi"/>
              </w:rPr>
              <w:t>0.04 ± 0.00</w:t>
            </w:r>
          </w:p>
        </w:tc>
      </w:tr>
    </w:tbl>
    <w:p w14:paraId="1F594272" w14:textId="3D0D535D" w:rsidR="003E6C57" w:rsidRPr="00EF2430" w:rsidRDefault="003E6C57" w:rsidP="003E6C57">
      <w:pPr>
        <w:tabs>
          <w:tab w:val="left" w:pos="284"/>
        </w:tabs>
        <w:spacing w:after="0" w:line="240" w:lineRule="auto"/>
        <w:contextualSpacing/>
        <w:jc w:val="both"/>
        <w:outlineLvl w:val="0"/>
        <w:rPr>
          <w:rFonts w:ascii="Times New Roman" w:hAnsi="Times New Roman" w:cs="Times New Roman"/>
          <w:color w:val="000000" w:themeColor="text1"/>
          <w:sz w:val="24"/>
          <w:szCs w:val="24"/>
          <w:lang w:val="en-GB"/>
        </w:rPr>
      </w:pPr>
    </w:p>
    <w:p w14:paraId="47BAEE9B" w14:textId="77777777" w:rsidR="00791015" w:rsidRPr="00EF2430" w:rsidRDefault="00791015" w:rsidP="00044D6B">
      <w:pPr>
        <w:tabs>
          <w:tab w:val="left" w:pos="284"/>
        </w:tabs>
        <w:spacing w:after="0" w:line="240" w:lineRule="auto"/>
        <w:contextualSpacing/>
        <w:jc w:val="both"/>
        <w:outlineLvl w:val="0"/>
        <w:rPr>
          <w:rFonts w:ascii="Times New Roman" w:hAnsi="Times New Roman" w:cs="Times New Roman"/>
          <w:bCs/>
          <w:color w:val="000000" w:themeColor="text1"/>
          <w:spacing w:val="2"/>
          <w:sz w:val="24"/>
          <w:szCs w:val="24"/>
        </w:rPr>
        <w:sectPr w:rsidR="00791015" w:rsidRPr="00EF2430" w:rsidSect="00791015">
          <w:type w:val="continuous"/>
          <w:pgSz w:w="11907" w:h="16840" w:code="9"/>
          <w:pgMar w:top="1588" w:right="1134" w:bottom="1588" w:left="1134" w:header="680" w:footer="680" w:gutter="0"/>
          <w:cols w:space="720"/>
          <w:titlePg/>
          <w:docGrid w:linePitch="360"/>
        </w:sectPr>
      </w:pPr>
    </w:p>
    <w:p w14:paraId="56C3D9E0" w14:textId="77777777" w:rsidR="00044D6B" w:rsidRPr="00EF2430" w:rsidRDefault="00044D6B" w:rsidP="00044D6B">
      <w:pPr>
        <w:tabs>
          <w:tab w:val="left" w:pos="284"/>
        </w:tabs>
        <w:spacing w:before="240" w:after="0" w:line="240" w:lineRule="auto"/>
        <w:contextualSpacing/>
        <w:jc w:val="both"/>
        <w:outlineLvl w:val="0"/>
        <w:rPr>
          <w:rFonts w:ascii="Times New Roman" w:hAnsi="Times New Roman" w:cs="Times New Roman"/>
          <w:b/>
          <w:bCs/>
          <w:color w:val="000000" w:themeColor="text1"/>
          <w:spacing w:val="2"/>
          <w:sz w:val="28"/>
          <w:szCs w:val="28"/>
        </w:rPr>
      </w:pPr>
      <w:r w:rsidRPr="00EF2430">
        <w:rPr>
          <w:rFonts w:ascii="Times New Roman" w:hAnsi="Times New Roman" w:cs="Times New Roman"/>
          <w:b/>
          <w:bCs/>
          <w:color w:val="000000" w:themeColor="text1"/>
          <w:spacing w:val="2"/>
          <w:sz w:val="28"/>
          <w:szCs w:val="28"/>
        </w:rPr>
        <w:t>Discussion</w:t>
      </w:r>
    </w:p>
    <w:p w14:paraId="145787DA"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Cs/>
          <w:color w:val="000000" w:themeColor="text1"/>
          <w:spacing w:val="-2"/>
          <w:sz w:val="24"/>
          <w:szCs w:val="24"/>
          <w:lang w:val="en"/>
        </w:rPr>
      </w:pPr>
      <w:r w:rsidRPr="00EF2430">
        <w:rPr>
          <w:rFonts w:ascii="Times New Roman" w:hAnsi="Times New Roman" w:cs="Times New Roman"/>
          <w:bCs/>
          <w:color w:val="000000" w:themeColor="text1"/>
          <w:spacing w:val="-2"/>
          <w:sz w:val="24"/>
          <w:szCs w:val="24"/>
          <w:lang w:val="en"/>
        </w:rPr>
        <w:t>This study demonstrated that RA significantly ameliorated the PQ-induced pulmonary injury in mice. This protective effect is evidenced by reduced inflammatory cell infiltration, decreased lung congestion, and notably, the down-regulation of TLR9, IL-1β, and TNF-α gene expression. Collectively, these findings suggest that RA possesses promising therapeutic potential against PQ-induced lung damage.</w:t>
      </w:r>
    </w:p>
    <w:p w14:paraId="730D3176" w14:textId="77777777" w:rsidR="00C81957" w:rsidRDefault="003E6C57" w:rsidP="00C44186">
      <w:pPr>
        <w:tabs>
          <w:tab w:val="left" w:pos="284"/>
        </w:tabs>
        <w:spacing w:after="0" w:line="240" w:lineRule="auto"/>
        <w:ind w:firstLine="284"/>
        <w:contextualSpacing/>
        <w:jc w:val="both"/>
        <w:outlineLvl w:val="0"/>
        <w:rPr>
          <w:rFonts w:ascii="Times New Roman" w:hAnsi="Times New Roman" w:cs="Times New Roman"/>
          <w:bCs/>
          <w:color w:val="000000" w:themeColor="text1"/>
          <w:spacing w:val="-2"/>
          <w:sz w:val="24"/>
          <w:szCs w:val="24"/>
          <w:lang w:val="en"/>
        </w:rPr>
      </w:pPr>
      <w:r w:rsidRPr="00EF2430">
        <w:rPr>
          <w:rFonts w:ascii="Times New Roman" w:hAnsi="Times New Roman" w:cs="Times New Roman"/>
          <w:bCs/>
          <w:color w:val="000000" w:themeColor="text1"/>
          <w:spacing w:val="-2"/>
          <w:sz w:val="24"/>
          <w:szCs w:val="24"/>
          <w:lang w:val="en"/>
        </w:rPr>
        <w:t xml:space="preserve">Our observation of lung injury following PQ treatment aligns with a previous study by </w:t>
      </w:r>
      <w:proofErr w:type="spellStart"/>
      <w:r w:rsidRPr="00EF2430">
        <w:rPr>
          <w:rFonts w:ascii="Times New Roman" w:hAnsi="Times New Roman" w:cs="Times New Roman"/>
          <w:bCs/>
          <w:color w:val="000000" w:themeColor="text1"/>
          <w:spacing w:val="-2"/>
          <w:sz w:val="24"/>
          <w:szCs w:val="24"/>
          <w:lang w:val="en"/>
        </w:rPr>
        <w:t>Molavinia</w:t>
      </w:r>
      <w:proofErr w:type="spellEnd"/>
      <w:r w:rsidRPr="00EF2430">
        <w:rPr>
          <w:rFonts w:ascii="Times New Roman" w:hAnsi="Times New Roman" w:cs="Times New Roman"/>
          <w:bCs/>
          <w:color w:val="000000" w:themeColor="text1"/>
          <w:spacing w:val="-2"/>
          <w:sz w:val="24"/>
          <w:szCs w:val="24"/>
          <w:lang w:val="en"/>
        </w:rPr>
        <w:t xml:space="preserve"> et al.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{"citationItems":[{"id":"ITEM-1","itemData":{"DOI":"10.22038/AJP.2023.22121","ISSN":"22287949","abstract":"Objective: Paraquat (PQ) is a highly toxic herbicide that causes pulmonary fibrosis (PF), and no specific antidote is available against it. Teucrium polium L. is a plant that exhibits antioxidant and anti-inflammatory activities. The present study evaluates the preventive and therapeutic effects of T. polium extract (TPE) against PQ-induced lung fibrosis in rats. Materials and Methods: We divided rats into five groups of eight. Groups one and two received saline and PQ (20 mg/kg, i.p.), respectively. Groups three to five were treated with TPE (50, 100, and 200 mg/kg, by gavage) started one week before PQ administration and lasted three weeks after PQ administration. Results: Our findings showed that PQ significantly increased lung malondialdehyde, nitric oxide, hydroxyproline, lung index, Ashcroft score, red blood cells accumulation, and inflammatory cell infiltration. Moreover, PQ decreased catalase and glutathione peroxidase activities and glutathione content. The results of hematoxylin-eosin and Masson's trichrome staining indicated that PQ destroyed lung parenchyma and developed PF (p&lt;0.05 to p&lt;0.001). Gavage with TPE significantly improved biochemical and histological abnormalities induced by PQ in rats (p&lt;0.05 to p&lt;0.001). Conclusion: The current survey indicated that treatment with TPE could reduce and reverse PQ-induced PF, which may be due to the phenolic compounds present in TPE.","author":[{"dropping-particle":"","family":"Molavinia","given":"Shahrzad","non-dropping-particle":"","parse-names":false,"suffix":""},{"dropping-particle":"","family":"Goudarzi","given":"Mehdi","non-dropping-particle":"","parse-names":false,"suffix":""},{"dropping-particle":"","family":"Azemi","given":"Mohammad Ebrahim","non-dropping-particle":"","parse-names":false,"suffix":""},{"dropping-particle":"","family":"Basir","given":"Zahra","non-dropping-particle":"","parse-names":false,"suffix":""},{"dropping-particle":"","family":"Khorasgani","given":"Zahra Nazari","non-dropping-particle":"","parse-names":false,"suffix":""},{"dropping-particle":"","family":"Nooshabadi","given":"Mohammad Reza Rashidi","non-dropping-particle":"","parse-names":false,"suffix":""},{"dropping-particle":"","family":"Ebrahimi","given":"Rezvan","non-dropping-particle":"","parse-names":false,"suffix":""},{"dropping-particle":"","family":"Khodayar","given":"Mohammad Javad","non-dropping-particle":"","parse-names":false,"suffix":""}],"container-title":"Avicenna Journal of Phytomedicine","id":"ITEM-1","issue":"5","issued":{"date-parts":[["2023"]]},"page":"551-561","publisher":"Mashhad University of Medical Sciences","title":"Protective potential effects of hydroalcoholic extract of Teucrium polium L. (Lamiaceae) against paraquat-induced lung fibrosis: An experimental study in rats","type":"article-journal","volume":"13"},"uris":["http://www.mendeley.com/documents/?uuid=d034b97e-e41d-4c9d-b232-8d2a8f6fb2f0"]}],"mendeley":{"formattedCitation":"(18)","plainTextFormattedCitation":"(18)","previouslyFormattedCitation":"(18)"},"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(18)</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They reported t</w:t>
      </w:r>
      <w:r w:rsidR="00374B39" w:rsidRPr="00EF2430">
        <w:rPr>
          <w:rFonts w:ascii="Times New Roman" w:hAnsi="Times New Roman" w:cs="Times New Roman"/>
          <w:bCs/>
          <w:color w:val="000000" w:themeColor="text1"/>
          <w:spacing w:val="-2"/>
          <w:sz w:val="24"/>
          <w:szCs w:val="24"/>
          <w:lang w:val="en"/>
        </w:rPr>
        <w:t>hat a single dose of PQ (20 mg/</w:t>
      </w:r>
      <w:r w:rsidRPr="00EF2430">
        <w:rPr>
          <w:rFonts w:ascii="Times New Roman" w:hAnsi="Times New Roman" w:cs="Times New Roman"/>
          <w:bCs/>
          <w:color w:val="000000" w:themeColor="text1"/>
          <w:spacing w:val="-2"/>
          <w:sz w:val="24"/>
          <w:szCs w:val="24"/>
          <w:lang w:val="en"/>
        </w:rPr>
        <w:t xml:space="preserve">kg, </w:t>
      </w:r>
      <w:proofErr w:type="spellStart"/>
      <w:r w:rsidRPr="00EF2430">
        <w:rPr>
          <w:rFonts w:ascii="Times New Roman" w:hAnsi="Times New Roman" w:cs="Times New Roman"/>
          <w:bCs/>
          <w:color w:val="000000" w:themeColor="text1"/>
          <w:spacing w:val="-2"/>
          <w:sz w:val="24"/>
          <w:szCs w:val="24"/>
          <w:lang w:val="en"/>
        </w:rPr>
        <w:t>i.p.</w:t>
      </w:r>
      <w:proofErr w:type="spellEnd"/>
      <w:r w:rsidRPr="00EF2430">
        <w:rPr>
          <w:rFonts w:ascii="Times New Roman" w:hAnsi="Times New Roman" w:cs="Times New Roman"/>
          <w:bCs/>
          <w:color w:val="000000" w:themeColor="text1"/>
          <w:spacing w:val="-2"/>
          <w:sz w:val="24"/>
          <w:szCs w:val="24"/>
          <w:lang w:val="en"/>
        </w:rPr>
        <w:t>) induced fibrotic lesions, including hydroxyproline deposition, inflammatory cell infiltration, and congestion after three weeks of treatment in rats. Our study extends these findings by demonstrating the protective effects of RA against PQ-induced abnormalities, underscoring the importance of our research in this field.</w:t>
      </w:r>
      <w:r w:rsidRPr="00EF2430">
        <w:rPr>
          <w:rFonts w:ascii="Times New Roman" w:hAnsi="Times New Roman" w:cs="Times New Roman" w:hint="cs"/>
          <w:bCs/>
          <w:color w:val="000000" w:themeColor="text1"/>
          <w:spacing w:val="-2"/>
          <w:sz w:val="24"/>
          <w:szCs w:val="24"/>
          <w:rtl/>
        </w:rPr>
        <w:t xml:space="preserve"> </w:t>
      </w:r>
      <w:r w:rsidRPr="00EF2430">
        <w:rPr>
          <w:rFonts w:ascii="Times New Roman" w:hAnsi="Times New Roman" w:cs="Times New Roman"/>
          <w:bCs/>
          <w:color w:val="000000" w:themeColor="text1"/>
          <w:spacing w:val="-2"/>
          <w:sz w:val="24"/>
          <w:szCs w:val="24"/>
          <w:lang w:val="en"/>
        </w:rPr>
        <w:t xml:space="preserve">Unlike studies focusing solely on the acute effects of PQ, we examined both the 6-day and 24-day experimental periods to observe the development of lung damage over time, as previously described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{"citationItems":[{"id":"ITEM-1","itemData":{"ISSN":"0025-7931","author":[{"dropping-particle":"","family":"Rhee","given":"Chin Kook","non-dropping-particle":"","parse-names":false,"suffix":""},{"dropping-particle":"","family":"Lee","given":"Sang Haak","non-dropping-particle":"","parse-names":false,"suffix":""},{"dropping-particle":"","family":"Yoon","given":"Hyung Kyu","non-dropping-particle":"","parse-names":false,"suffix":""},{"dropping-particle":"","family":"Kim","given":"Seok Chan","non-dropping-particle":"","parse-names":false,"suffix":""},{"dropping-particle":"","family":"Lee","given":"Sook Young","non-dropping-particle":"","parse-names":false,"suffix":""},{"dropping-particle":"","family":"Kwon","given":"Soon Suk","non-dropping-particle":"","parse-names":false,"suffix":""},{"dropping-particle":"","family":"Kim","given":"Young Kyoon","non-dropping-particle":"","parse-names":false,"suffix":""},{"dropping-particle":"","family":"Kim","given":"Kwan Hyoung","non-dropping-particle":"","parse-names":false,"suffix":""},{"dropping-particle":"","family":"Kim","given":"Tae Jung","non-dropping-particle":"","parse-names":false,"suffix":""},{"dropping-particle":"","family":"Kim","given":"Jin Woo","non-dropping-particle":"","parse-names":false,"suffix":""}],"container-title":"Respiration","id":"ITEM-1","issue":"3","issued":{"date-parts":[["2011"]]},"page":"273-287","publisher":"S. Karger AG","title":"Effect of nilotinib on bleomycin-induced acute lung injury and pulmonary fibrosis in mice","type":"article-journal","volume":"82"},"uris":["http://www.mendeley.com/documents/?uuid=8d4afb00-5592-4666-aada-eed50b936bb1"]},{"id":"ITEM-2","itemData":{"DOI":"10.1007/s11356-019-06572-2","ISSN":"16147499","PMID":"31732951","abstract":"Paraquat (PQ) induces pulmonary fibrosis, a progressive lung disorder resulting in severe respiratory failure and death. Increased oxidative stress, inflammatory reactions, and multiple fibrotic lesions are major features of PQ-induced lung injury. Diosmin (Dio) is a safe drug that is available for clinical use for vascular disorders. Dio exhibits antioxidant, anti-inflammatory, and antifibrotic activities. Accordingly, the aim of this study was to evaluate the protective effect of diosmin on PQ-induced lung injury in mice and the underlying mechanisms involved. Lung injury was induced by PQ (30 mg/kg, intraperitoneally) in NMRI albino mice and Dio (50 and 100 mg/kg, gavage) was administrated 3 days before PQ and continued for 10 or 24 days. After euthanizing the mice, the biochemical and histopathological markers of lung tissue were determined. PQ significantly increased oxidative stress, inflammatory, and fibrotic markers. PQ increased the level of malonedaldehyde (MDA) and hydroxyproline (HYP) and decreased the level of glutathione (GSH) and catalase activity in the lung. Dio (50 and 100 mg/kg) significantly increased GSH levels and catalase activity and decreased HYP content and MDA levels. In addition, Dio reduced histopathological injuries in hematoxylin and eosin–stained and Masson’s trichrome–stained sections. These findings suggest that Dio has protective effects against PQ-induced lung injury, which may be due to its antioxidant, anti-inflammatory, and antifibrotic effects.","author":[{"dropping-particle":"","family":"Mirzaee","given":"Sirus","non-dropping-particle":"","parse-names":false,"suffix":""},{"dropping-particle":"","family":"Mansouri","given":"Esrafil","non-dropping-particle":"","parse-names":false,"suffix":""},{"dropping-particle":"","family":"Shirani","given":"Maryam","non-dropping-particle":"","parse-names":false,"suffix":""},{"dropping-particle":"","family":"Zeinvand-Lorestani","given":"Marzieh","non-dropping-particle":"","parse-names":false,"suffix":""},{"dropping-particle":"","family":"Khodayar","given":"Mohammad Javad","non-dropping-particle":"","parse-names":false,"suffix":""}],"container-title":"Environmental Science and Pollution Research","id":"ITEM-2","issue":"36","issued":{"date-parts":[["2019"]]},"page":"36468-36477","publisher":"Environmental Science and Pollution Research","title":"Diosmin ameliorative effects on oxidative stress and fibrosis in paraquat-induced lung injury in mice","type":"article-journal","volume":"26"},"uris":["http://www.mendeley.com/documents/?uuid=689bbf32-0717-4899-951a-58d4a1925118"]}],"mendeley":{"formattedCitation":"(19,20)","plainTextFormattedCitation":"(19,20)","previouslyFormattedCitation":"(19,20)"},"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(19,20)</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This allowed us to</w:t>
      </w:r>
      <w:r w:rsidR="00C81957">
        <w:rPr>
          <w:rFonts w:ascii="Times New Roman" w:hAnsi="Times New Roman" w:cs="Times New Roman"/>
          <w:bCs/>
          <w:color w:val="000000" w:themeColor="text1"/>
          <w:spacing w:val="-2"/>
          <w:sz w:val="24"/>
          <w:szCs w:val="24"/>
          <w:lang w:val="en"/>
        </w:rPr>
        <w:t xml:space="preserve"> </w:t>
      </w:r>
    </w:p>
    <w:p w14:paraId="2358E011" w14:textId="77777777" w:rsidR="00C81957" w:rsidRDefault="00C81957" w:rsidP="00C44186">
      <w:pPr>
        <w:tabs>
          <w:tab w:val="left" w:pos="284"/>
        </w:tabs>
        <w:spacing w:after="0" w:line="240" w:lineRule="auto"/>
        <w:ind w:firstLine="284"/>
        <w:contextualSpacing/>
        <w:jc w:val="both"/>
        <w:outlineLvl w:val="0"/>
        <w:rPr>
          <w:rFonts w:ascii="Times New Roman" w:hAnsi="Times New Roman" w:cs="Times New Roman"/>
          <w:bCs/>
          <w:color w:val="000000" w:themeColor="text1"/>
          <w:spacing w:val="-2"/>
          <w:sz w:val="24"/>
          <w:szCs w:val="24"/>
          <w:lang w:val="en"/>
        </w:rPr>
      </w:pPr>
    </w:p>
    <w:p w14:paraId="008FFE75" w14:textId="77777777" w:rsidR="00C81957" w:rsidRDefault="00C81957" w:rsidP="00C44186">
      <w:pPr>
        <w:tabs>
          <w:tab w:val="left" w:pos="284"/>
        </w:tabs>
        <w:spacing w:after="0" w:line="240" w:lineRule="auto"/>
        <w:ind w:firstLine="284"/>
        <w:contextualSpacing/>
        <w:jc w:val="both"/>
        <w:outlineLvl w:val="0"/>
        <w:rPr>
          <w:rFonts w:ascii="Times New Roman" w:hAnsi="Times New Roman" w:cs="Times New Roman"/>
          <w:bCs/>
          <w:color w:val="000000" w:themeColor="text1"/>
          <w:spacing w:val="-2"/>
          <w:sz w:val="24"/>
          <w:szCs w:val="24"/>
          <w:lang w:val="en"/>
        </w:rPr>
      </w:pPr>
    </w:p>
    <w:p w14:paraId="7D037249" w14:textId="13E98495" w:rsidR="003E6C57" w:rsidRPr="00EF2430" w:rsidRDefault="00C81957" w:rsidP="00C81957">
      <w:pPr>
        <w:tabs>
          <w:tab w:val="left" w:pos="284"/>
        </w:tabs>
        <w:spacing w:after="0" w:line="240" w:lineRule="auto"/>
        <w:contextualSpacing/>
        <w:jc w:val="both"/>
        <w:outlineLvl w:val="0"/>
        <w:rPr>
          <w:rFonts w:ascii="Times New Roman" w:hAnsi="Times New Roman" w:cs="Times New Roman"/>
          <w:bCs/>
          <w:color w:val="000000" w:themeColor="text1"/>
          <w:spacing w:val="-2"/>
          <w:sz w:val="24"/>
          <w:szCs w:val="24"/>
          <w:lang w:val="en"/>
        </w:rPr>
      </w:pPr>
      <w:r>
        <w:rPr>
          <w:rFonts w:ascii="Times New Roman" w:hAnsi="Times New Roman" w:cs="Times New Roman"/>
          <w:bCs/>
          <w:color w:val="000000" w:themeColor="text1"/>
          <w:spacing w:val="-2"/>
          <w:sz w:val="24"/>
          <w:szCs w:val="24"/>
          <w:lang w:val="en"/>
        </w:rPr>
        <w:t xml:space="preserve">, to </w:t>
      </w:r>
      <w:r w:rsidR="003E6C57" w:rsidRPr="00EF2430">
        <w:rPr>
          <w:rFonts w:ascii="Times New Roman" w:hAnsi="Times New Roman" w:cs="Times New Roman"/>
          <w:bCs/>
          <w:color w:val="000000" w:themeColor="text1"/>
          <w:spacing w:val="-2"/>
          <w:sz w:val="24"/>
          <w:szCs w:val="24"/>
          <w:lang w:val="en"/>
        </w:rPr>
        <w:t>assess the impact of RA on both the early and later phases of PQ-induced lung injury.</w:t>
      </w:r>
    </w:p>
    <w:p w14:paraId="08444E4A" w14:textId="77777777" w:rsidR="003E6C57" w:rsidRPr="00EF2430" w:rsidRDefault="003E6C57" w:rsidP="00C44186">
      <w:pPr>
        <w:tabs>
          <w:tab w:val="left" w:pos="284"/>
        </w:tabs>
        <w:spacing w:after="0" w:line="240" w:lineRule="auto"/>
        <w:ind w:firstLine="284"/>
        <w:contextualSpacing/>
        <w:jc w:val="both"/>
        <w:outlineLvl w:val="0"/>
        <w:rPr>
          <w:rFonts w:ascii="Times New Roman" w:hAnsi="Times New Roman" w:cs="Times New Roman"/>
          <w:bCs/>
          <w:color w:val="000000" w:themeColor="text1"/>
          <w:spacing w:val="-2"/>
          <w:sz w:val="24"/>
          <w:szCs w:val="24"/>
          <w:lang w:val="en"/>
        </w:rPr>
      </w:pPr>
      <w:proofErr w:type="spellStart"/>
      <w:r w:rsidRPr="00EF2430">
        <w:rPr>
          <w:rFonts w:ascii="Times New Roman" w:hAnsi="Times New Roman" w:cs="Times New Roman"/>
          <w:bCs/>
          <w:color w:val="000000" w:themeColor="text1"/>
          <w:spacing w:val="-2"/>
          <w:sz w:val="24"/>
          <w:szCs w:val="24"/>
        </w:rPr>
        <w:t>Rosmarinic</w:t>
      </w:r>
      <w:proofErr w:type="spellEnd"/>
      <w:r w:rsidRPr="00EF2430">
        <w:rPr>
          <w:rFonts w:ascii="Times New Roman" w:hAnsi="Times New Roman" w:cs="Times New Roman"/>
          <w:bCs/>
          <w:color w:val="000000" w:themeColor="text1"/>
          <w:spacing w:val="-2"/>
          <w:sz w:val="24"/>
          <w:szCs w:val="24"/>
        </w:rPr>
        <w:t xml:space="preserve"> acid</w:t>
      </w:r>
      <w:r w:rsidRPr="00EF2430">
        <w:rPr>
          <w:rFonts w:ascii="Times New Roman" w:hAnsi="Times New Roman" w:cs="Times New Roman"/>
          <w:bCs/>
          <w:color w:val="000000" w:themeColor="text1"/>
          <w:spacing w:val="-2"/>
          <w:sz w:val="24"/>
          <w:szCs w:val="24"/>
          <w:lang w:val="en"/>
        </w:rPr>
        <w:t xml:space="preserve"> (RA) has been shown to exhibit anti-inflammatory and antioxidant activities in various animal models. A recent study demonstrated that RA, an antioxidant, protects against pulmonary ischemia/reperfusion injury in mice. It improved hypoxemia, pulmonary edema, and inflammatory cytokine levels while reducing pro-oxidant NADPH oxidases and enhancing antioxidant superoxide dismutase. It also activated the phosphatidylinositol 3-kinase/Akt pathway to decrease reactive oxygen species and lower alveolar epithelial cell apoptosis, highlighting its potential as a treatment for pulmonary injury (19). In a mouse asthma model, RA treatment significantly reduced inflammatory cell numbers, T helper 2 cytokine production, and airway hyperresponsiveness, suggesting that RA is a potential therapeutic agent for allergic asthma (20). Another study also found that RA significantly reduced inflammatory cell numbers and cytokine production via the modulation of NADPH oxidases (21). </w:t>
      </w:r>
      <w:r w:rsidRPr="00EF2430">
        <w:rPr>
          <w:rFonts w:ascii="Times New Roman" w:hAnsi="Times New Roman" w:cs="Times New Roman"/>
          <w:bCs/>
          <w:color w:val="000000" w:themeColor="text1"/>
          <w:spacing w:val="-2"/>
          <w:sz w:val="24"/>
          <w:szCs w:val="24"/>
        </w:rPr>
        <w:t>Given that PQ produces free radicals and superoxide anions via NADPH-</w:t>
      </w:r>
      <w:r w:rsidRPr="00EF2430">
        <w:rPr>
          <w:rFonts w:ascii="Times New Roman" w:hAnsi="Times New Roman" w:cs="Times New Roman"/>
          <w:bCs/>
          <w:color w:val="000000" w:themeColor="text1"/>
          <w:spacing w:val="-2"/>
          <w:sz w:val="24"/>
          <w:szCs w:val="24"/>
        </w:rPr>
        <w:lastRenderedPageBreak/>
        <w:t>dependent single-electron reduction (22), RA may be a promising approach to address this issue, offering hope for the development of effective treatments for pulmonary diseases.</w:t>
      </w:r>
    </w:p>
    <w:p w14:paraId="3F7C126C" w14:textId="77777777" w:rsidR="003E6C57" w:rsidRPr="00EF2430" w:rsidRDefault="003E6C57" w:rsidP="00C44186">
      <w:pPr>
        <w:tabs>
          <w:tab w:val="left" w:pos="284"/>
        </w:tabs>
        <w:spacing w:after="0" w:line="240" w:lineRule="auto"/>
        <w:ind w:firstLine="284"/>
        <w:contextualSpacing/>
        <w:jc w:val="both"/>
        <w:outlineLvl w:val="0"/>
        <w:rPr>
          <w:rFonts w:ascii="Times New Roman" w:hAnsi="Times New Roman" w:cs="Times New Roman"/>
          <w:bCs/>
          <w:color w:val="000000" w:themeColor="text1"/>
          <w:spacing w:val="-2"/>
          <w:sz w:val="24"/>
          <w:szCs w:val="24"/>
          <w:lang w:val="en"/>
        </w:rPr>
      </w:pPr>
      <w:r w:rsidRPr="00EF2430">
        <w:rPr>
          <w:rFonts w:ascii="Times New Roman" w:hAnsi="Times New Roman" w:cs="Times New Roman"/>
          <w:bCs/>
          <w:color w:val="000000" w:themeColor="text1"/>
          <w:spacing w:val="-2"/>
          <w:sz w:val="24"/>
          <w:szCs w:val="24"/>
          <w:lang w:val="en-GB"/>
        </w:rPr>
        <w:t xml:space="preserve">A key finding of our study was the reduction in TLR9 expression following RA treatment. </w:t>
      </w:r>
      <w:r w:rsidRPr="00EF2430">
        <w:rPr>
          <w:rFonts w:ascii="Times New Roman" w:hAnsi="Times New Roman" w:cs="Times New Roman"/>
          <w:bCs/>
          <w:color w:val="000000" w:themeColor="text1"/>
          <w:spacing w:val="-2"/>
          <w:sz w:val="24"/>
          <w:szCs w:val="24"/>
          <w:lang w:val="en"/>
        </w:rPr>
        <w:t xml:space="preserve">TLRs are key components of the host immune system and can initiate immune responses against invading pathogens and non-microbial endogenous molecules that originate from tissue damage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author":[{"dropping-particle":"","family":"Zare","given":"Reza","non-dropping-particle":"","parse-names":false,"suffix":""},{"dropping-particle":"","family":"Anvari","given":"Kazem","non-dropping-particle":"","parse-names":false,"suffix":""},{"dropping-particle":"","family":"Mohajertehran","given":"Farnaz","non-dropping-particle":"","parse-names":false,"suffix":""},{"dropping-particle":"","family":"Farshbaf","given":"Alieh","non-dropping-particle":"","parse-names":false,"suffix":""},{"dropping-particle":"","family":"Pakfetrat","given":"Atessa","non-dropping-particle":"","parse-names":false,"suffix":""},{"dropping-particle":"","family":"Ansari","given":"Amir Houshang","non-dropping-particle":"","parse-names":false,"suffix":""},{"dropping-particle":"","family":"Ghelichli","given":"Maryam","non-dropping-particle":"","parse-names":false,"suffix":""},{"dropping-particle":"","family":"Mohtasham","given":"Nooshin","non-dropping-particle":"","parse-names":false,"suffix":""}],"container-title":"Reports of Biochemistry &amp; Molecular Biology","id":"ITEM-1","issue":"2","issued":{"date-parts":[["2022"]]},"page":"200","title":"Association between tissue expression of toll-like receptor and some clinicopathological indices in oral squamous cell carcinoma","type":"article-journal","volume":"11"},"uris":["http://www.mendeley.com/documents/?uuid=67c29d0e-c135-444b-a5ae-9797c44a77ae"]}],"mendeley":{"formattedCitation":"(21)","plainTextFormattedCitation":"(21)","previouslyFormattedCitation":"(21)"},"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(21)</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xml:space="preserve">. Studies have shown that the expression of TLR4 and TLR9 is increased in PQ-induced acute tissue injury, which is related to the extent and severity of the injury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{"citationItems":[{"id":"ITEM-1","itemData":{"DOI":"10.1016/j.lfs.2016.11.021","ISSN":"18790631","PMID":"27890776","abstract":"Aims To evaluate the detoxifying effect of epigallocatechin-3-gallate (EGCG) on paraquat (PQ)-induced acute lung injury in mice, and to explore the action mechanisms. Main methods Following administration of PQ, the mice received a low, a medium or a high dose of EGCG daily for three days. Histopathology of the lungs were examined by H&amp;E staining. The levels of inflammatory cytokines, such as TNF-α, IL-1β and IL-6, in the bronchoalveolar lavage fluid were measured by enzyme-linked immunosorbent assay. Activation of NF-κB was assessed by Western blot and electrophoretic mobility gel shift assay. The expression of toll-like receptor (TLR)-2, 4, 9 and TLR adaptors (MyD88 and TRAF6) was detected by Western blot and immunohistochemical staining. The protective effect of EGCG against PQ toxicity was validated in vitro using A549 lung cancer cell line. Key findings Treatment with EGCG dose-dependently attenuated PQ-induced acute lung injury in mice by reducing alveolar edema, hemorrhage, inflammatory cell infiltration and production of inflammatory cytokines. EGCG inhibited the activation of NF-κB and the upregulation of TLR 2, 4 and 9 as well as their adaptors MyD88 and TRAF6 in the lungs following PQ challenge. In addition, EGCG significantly reduced PQ-induced cell death, cytokine production, activation of NF-κB, and upregulation of TLRs and adaptors in A549 cells. Significance Our data suggest that TLR-mediated activation of NF-κB in the non-immune pulmonary cells could be involved in PQ-induced acute lung injury, and it may serve as a target of EGCG against PQ pulmonary toxicity.","author":[{"dropping-particle":"","family":"Shen","given":"Haitao","non-dropping-particle":"","parse-names":false,"suffix":""},{"dropping-particle":"","family":"Wu","given":"Na","non-dropping-particle":"","parse-names":false,"suffix":""},{"dropping-particle":"","family":"Liu","given":"Zhenning","non-dropping-particle":"","parse-names":false,"suffix":""},{"dropping-particle":"","family":"Zhao","given":"Hongyu","non-dropping-particle":"","parse-names":false,"suffix":""},{"dropping-particle":"","family":"Zhao","given":"Min","non-dropping-particle":"","parse-names":false,"suffix":""}],"container-title":"Life Sciences","id":"ITEM-1","issued":{"date-parts":[["2017"]]},"page":"25-32","publisher":"Elsevier","title":"Epigallocatechin-3-gallate alleviates paraquat-induced acute lung injury and inhibits upregulation of toll-like receptors","type":"article-journal","volume":"170"},"uris":["http://www.mendeley.com/documents/?uuid=7f301135-124d-484a-8ec1-a292d88d4e15"]},{"id":"ITEM-2","itemData":{"DOI":"10.1038/s41598-017-00721-8","ISSN":"20452322","PMID":"28377603","abstract":"Paraquat is a poisoning herbicide that primarily targets lung, leading to severe acute lung injury characterized by extensive neutrophil infiltration. However, the mechanisms underlying the neutrophil infiltration is not clear. In this study, we demonstrated the significance of the signaling cascade from high-mobility group box 1 (HMGB1), to Toll-like receptor 4 (TLR4), interleukin-23 (IL-23), and lastly to IL-17A during the paraquat-induced neutrophil infiltration and the subsequent lung injury in mice. Paraquat challenge significantly elevated serum levels of IL-17A and IL-23, the percentage of IL-17A-producing γδT cells in the lung, and the level of HMGB1 in bronchoalveolar lavage fluid. Reducing IL-17A production using an anti-γδT antibody, targeting IL-23 with the neutralizing antibody against IL-23p19, and blocking HMGB1 signaling by using glycyrrhizin or TLR4-/- mice all dramatically inhibited the infiltration of neutrophils and attenuated lung injury. These novel findings not only reveal the critical role of HMGB1-TLR4-IL-23-IL-17A axis in the pathogenesis of paraquat-induced acute lung injury, but also provide promising therapeutic targets for treating paraquat poisoning.","author":[{"dropping-particle":"","family":"Yan","given":"Bailing","non-dropping-particle":"","parse-names":false,"suffix":""},{"dropping-particle":"","family":"Chen","given":"Feng","non-dropping-particle":"","parse-names":false,"suffix":""},{"dropping-particle":"","family":"Xu","given":"Lijun","non-dropping-particle":"","parse-names":false,"suffix":""},{"dropping-particle":"","family":"Xing","given":"Jihong","non-dropping-particle":"","parse-names":false,"suffix":""},{"dropping-particle":"","family":"Wang","given":"Xuefu","non-dropping-particle":"","parse-names":false,"suffix":""}],"container-title":"Scientific Reports","id":"ITEM-2","issue":"1","issued":{"date-parts":[["2017"]]},"page":"597","publisher":"Nature Publishing Group UK London","title":"HMGB1-TLR4-IL23-IL17A axis promotes paraquat-induced acute lung injury by mediating neutrophil infiltration in mice","type":"article-journal","volume":"7"},"uris":["http://www.mendeley.com/documents/?uuid=da4c92d3-2e33-4329-bc3f-2c177fb50a87"]}],"mendeley":{"formattedCitation":"(22,23)","plainTextFormattedCitation":"(22,23)","previouslyFormattedCitation":"(22,23)"},"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(22, 23)</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xml:space="preserve">. </w:t>
      </w:r>
      <w:bookmarkStart w:id="4" w:name="OLE_LINK3"/>
      <w:r w:rsidRPr="00EF2430">
        <w:rPr>
          <w:rFonts w:ascii="Times New Roman" w:hAnsi="Times New Roman" w:cs="Times New Roman"/>
          <w:bCs/>
          <w:color w:val="000000" w:themeColor="text1"/>
          <w:spacing w:val="-2"/>
          <w:sz w:val="24"/>
          <w:szCs w:val="24"/>
          <w:lang w:val="en-GB"/>
        </w:rPr>
        <w:t>Our findings are consistent with those of Qian et al.</w:t>
      </w:r>
      <w:r w:rsidRPr="00EF2430">
        <w:rPr>
          <w:rFonts w:ascii="Times New Roman" w:hAnsi="Times New Roman" w:cs="Times New Roman"/>
          <w:bCs/>
          <w:color w:val="000000" w:themeColor="text1"/>
          <w:spacing w:val="-2"/>
          <w:sz w:val="24"/>
          <w:szCs w:val="24"/>
          <w:lang w:val="en"/>
        </w:rPr>
        <w:t xml:space="preserve">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{"citationItems":[{"id":"ITEM-1","itemData":{"DOI":"10.1177/0960327114542963","ISSN":"14770903","PMID":"25304964","abstract":"Background: Toll-like receptor 9 (TLR9), an important component of the innate immune system, contributes to the pathogenesis of lung injury. However, its role in paraquat (PQ)-induced lung injury has not been studied. Method: Mice were divided into PQ group (n = 24) and control group (n = 12). Mice in both groups were killed on either day 7 or day 28 after PQ (40 mg/kg intraperitoneally) or saline administration. TLR9 expression was evaluated through real-time polymerase chain reaction and immunohistochemistry. Concurrently, histopathological examinations of lung tissues were performed. On day 7, the lung weight to body weight ratios (LW/BW), total protein content, and inflammatory cytokine levels in bronchoalveolar lavage fluid (BALF) were measured. On day 28, fibrogenic cytokine expressions in lung tissues were measured. The correlations between TLR9 messenger RNA (mRNA) expression and different indicators of lung injury were then evaluated. Results: TLR9 expression was significantly increased over time in lung tissues after PQ poisoning. On day 7, TLR9 expression increased in parallel with LW/BW ratio (r = 0.403, p &lt; 0.05), BALF protein content (r = 0.706, p&lt;0.01), and BALF inflammatory cytokine levels (interleukin 6 (IL-6): r = 0.619, IL-1β: r = 0.930, tumor necrosis factor α: r = 0.589, all p &lt; 0.05). On day 28, elevated TLR9 expression was closely correlated with Ashcroft score (r = 0.726, p &lt; 0.01), mRNA expressions of α-smooth muscle actin, type I collagen and type III collagen (r = 0.926, 0.957, and 0.924, respectively; all p &lt; 0.01). Conclusions: The TLR9 expression in lung tissue is markedly elevated during PQ-induced acute lung injury and pulmonary fibrosis and positively correlated with the severity of lung injury in mice.","author":[{"dropping-particle":"","family":"Qian","given":"J.","non-dropping-particle":"","parse-names":false,"suffix":""},{"dropping-particle":"","family":"Liu","given":"L.","non-dropping-particle":"","parse-names":false,"suffix":""},{"dropping-particle":"","family":"Chen","given":"L.","non-dropping-particle":"","parse-names":false,"suffix":""},{"dropping-particle":"","family":"Lu","given":"X.","non-dropping-particle":"","parse-names":false,"suffix":""},{"dropping-particle":"","family":"Zhu","given":"C.","non-dropping-particle":"","parse-names":false,"suffix":""}],"container-title":"Human and Experimental Toxicology","id":"ITEM-1","issue":"4","issued":{"date-parts":[["2015"]]},"page":"430-438","publisher":"SAGE Publications Sage UK: London, England","title":"Increased toll-like receptor 9 expression is associated with the severity of paraquat-induced lung injury in mice","type":"article-journal","volume":"34"},"uris":["http://www.mendeley.com/documents/?uuid=1eaef66a-4647-47c6-96e4-8ea6ee971621"]}],"mendeley":{"formattedCitation":"(24)","plainTextFormattedCitation":"(24)","previouslyFormattedCitation":"(24)"},"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(24)</w:t>
      </w:r>
      <w:r w:rsidRPr="00EF2430">
        <w:rPr>
          <w:rFonts w:ascii="Times New Roman" w:hAnsi="Times New Roman" w:cs="Times New Roman"/>
          <w:bCs/>
          <w:color w:val="000000" w:themeColor="text1"/>
          <w:spacing w:val="-2"/>
          <w:sz w:val="24"/>
          <w:szCs w:val="24"/>
        </w:rPr>
        <w:fldChar w:fldCharType="end"/>
      </w:r>
      <w:bookmarkEnd w:id="4"/>
      <w:r w:rsidRPr="00EF2430">
        <w:rPr>
          <w:rFonts w:ascii="Times New Roman" w:hAnsi="Times New Roman" w:cs="Times New Roman"/>
          <w:bCs/>
          <w:color w:val="000000" w:themeColor="text1"/>
          <w:spacing w:val="-2"/>
          <w:sz w:val="24"/>
          <w:szCs w:val="24"/>
          <w:lang w:val="en"/>
        </w:rPr>
        <w:t xml:space="preserve">, who found that the expression of TLR9 in the lung significantly increases in pulmonary fibrosis and is associated with the severity of lung damage caused by PQ in mice. </w:t>
      </w:r>
      <w:r w:rsidRPr="00EF2430">
        <w:rPr>
          <w:rFonts w:ascii="Times New Roman" w:hAnsi="Times New Roman" w:cs="Times New Roman"/>
          <w:bCs/>
          <w:color w:val="000000" w:themeColor="text1"/>
          <w:spacing w:val="-2"/>
          <w:sz w:val="24"/>
          <w:szCs w:val="24"/>
          <w:lang w:val="en-GB"/>
        </w:rPr>
        <w:t xml:space="preserve">Similarly, </w:t>
      </w:r>
      <w:r w:rsidRPr="00EF2430">
        <w:rPr>
          <w:rFonts w:ascii="Times New Roman" w:hAnsi="Times New Roman" w:cs="Times New Roman"/>
          <w:bCs/>
          <w:color w:val="000000" w:themeColor="text1"/>
          <w:spacing w:val="-2"/>
          <w:sz w:val="24"/>
          <w:szCs w:val="24"/>
          <w:lang w:val="en"/>
        </w:rPr>
        <w:t xml:space="preserve">Shen et al.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{"citationItems":[{"id":"ITEM-1","itemData":{"DOI":"10.1016/j.lfs.2017.03.021","ISSN":"18790631","PMID":"28363843","abstract":"Aims This study aimed to investigate the role of Toll-like receptor 9 in paraquat-induced acute lung injury (ALI). Main methods For in vivo study,C57BL mice were randomly assigned into the vehicle control group, paraquat group, paraquat + TLR9 antagonist (ODN2088) group, and TLR9 antagonist (ODN2088) group (n = 36 per group). After paraquat 30 mg/kg ip for 2, 24 and 48 h, serum samples and lung tissues were collected to evaluate ALI and TLR9 signaling by lung injury score, protein levels of TLR9, MyD88, p-IRAK4, p-p65, and serum TNF-α and IL-1β levels. As for in vitro research A549 cells were randomly divided into the control group, paraquat group, paraquat + TLR9 siRNA group, and TLR9 siRNA group. After paraquat treatment for 24 h, the cells and supernatant were collected to measureTLR9, TNF-α, IL-1 mRNA expression, and detect activation of NF-κB, caspase-3. Key findings In vivo, the lung injury score, the TLR9, MyD88, p-IRAK4 and p-p65 protein levels, and cytokines TNF-α and IL-1β levels in paraquat group were significantly higher than that in the control group;TLR9 blocker ODN2088 pretreatment attenuated lung injury, inhibited MyD88 and NF-κB activation, and reduced TNF-α and IL-1β in serum. In vitro result shows that the gene silencing of TLR9 reduced the mRNA expression of TLR9, TNF-α and IL-1, inhibited NF-κB and caspase-3 activation, attenuated cell apoptosis. Significance TLR9 mediates paraquat-induced ALI, antagonizing TLR9 or silencing TLR9gene may attenuate paraquat-induced ALI.","author":[{"dropping-particle":"","family":"Shen","given":"Haitao","non-dropping-particle":"","parse-names":false,"suffix":""},{"dropping-particle":"","family":"Wu","given":"Na","non-dropping-particle":"","parse-names":false,"suffix":""},{"dropping-particle":"","family":"Wang","given":"Yu","non-dropping-particle":"","parse-names":false,"suffix":""},{"dropping-particle":"","family":"Zhang","given":"Lichun","non-dropping-particle":"","parse-names":false,"suffix":""},{"dropping-particle":"","family":"Hu","given":"Xiao","non-dropping-particle":"","parse-names":false,"suffix":""},{"dropping-particle":"","family":"Chen","given":"Zhiguang","non-dropping-particle":"","parse-names":false,"suffix":""},{"dropping-particle":"","family":"Zhao","given":"Min","non-dropping-particle":"","parse-names":false,"suffix":""}],"container-title":"Life Sciences","id":"ITEM-1","issued":{"date-parts":[["2017"]]},"page":"109-118","publisher":"Elsevier","title":"Toll-like receptor 9 mediates paraquat-induced acute lung injury: an in vitro and in vivo study","type":"article-journal","volume":"178"},"uris":["http://www.mendeley.com/documents/?uuid=7a11ec6a-06ce-458d-9c88-f30f864a2c23"]}],"mendeley":{"formattedCitation":"(25)","plainTextFormattedCitation":"(25)","previouslyFormattedCitation":"(25)"},"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(25)</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xml:space="preserve"> </w:t>
      </w:r>
      <w:r w:rsidRPr="00EF2430">
        <w:rPr>
          <w:rFonts w:ascii="Times New Roman" w:hAnsi="Times New Roman" w:cs="Times New Roman"/>
          <w:bCs/>
          <w:color w:val="000000" w:themeColor="text1"/>
          <w:spacing w:val="-2"/>
          <w:sz w:val="24"/>
          <w:szCs w:val="24"/>
          <w:lang w:val="en-GB"/>
        </w:rPr>
        <w:t xml:space="preserve">showed </w:t>
      </w:r>
      <w:r w:rsidRPr="00EF2430">
        <w:rPr>
          <w:rFonts w:ascii="Times New Roman" w:hAnsi="Times New Roman" w:cs="Times New Roman"/>
          <w:bCs/>
          <w:color w:val="000000" w:themeColor="text1"/>
          <w:spacing w:val="-2"/>
          <w:sz w:val="24"/>
          <w:szCs w:val="24"/>
          <w:lang w:val="en"/>
        </w:rPr>
        <w:t xml:space="preserve">that TLR9 expression was elevated following PQ poisoning and that TLR9 knockout mitigated PQ-induced lung injury. </w:t>
      </w:r>
      <w:r w:rsidRPr="00EF2430">
        <w:rPr>
          <w:rFonts w:ascii="Times New Roman" w:hAnsi="Times New Roman" w:cs="Times New Roman"/>
          <w:bCs/>
          <w:color w:val="000000" w:themeColor="text1"/>
          <w:spacing w:val="-2"/>
          <w:sz w:val="24"/>
          <w:szCs w:val="24"/>
          <w:lang w:val="en-GB"/>
        </w:rPr>
        <w:t>Our results build upon these studies by suggesting that RA's protective effects may be mediated through the modulation of TLR9 expression. This aligns with research demonstrating that</w:t>
      </w:r>
      <w:r w:rsidRPr="00EF2430">
        <w:rPr>
          <w:rFonts w:ascii="Times New Roman" w:hAnsi="Times New Roman" w:cs="Times New Roman"/>
          <w:bCs/>
          <w:color w:val="000000" w:themeColor="text1"/>
          <w:spacing w:val="-2"/>
          <w:sz w:val="24"/>
          <w:szCs w:val="24"/>
          <w:lang w:val="en"/>
        </w:rPr>
        <w:t xml:space="preserve"> RA can reduce inflammatory reactions by inhibiting high-mobility group box 1 </w:t>
      </w:r>
      <w:r w:rsidRPr="00EF2430">
        <w:rPr>
          <w:rFonts w:ascii="Times New Roman" w:hAnsi="Times New Roman" w:cs="Times New Roman"/>
          <w:bCs/>
          <w:color w:val="000000" w:themeColor="text1"/>
          <w:spacing w:val="-2"/>
          <w:sz w:val="24"/>
          <w:szCs w:val="24"/>
        </w:rPr>
        <w:t>(HMGB1)</w:t>
      </w:r>
      <w:r w:rsidRPr="00EF2430">
        <w:rPr>
          <w:rFonts w:ascii="Times New Roman" w:hAnsi="Times New Roman" w:cs="Times New Roman"/>
          <w:bCs/>
          <w:color w:val="000000" w:themeColor="text1"/>
          <w:spacing w:val="-2"/>
          <w:sz w:val="24"/>
          <w:szCs w:val="24"/>
          <w:lang w:val="en"/>
        </w:rPr>
        <w:t xml:space="preserve">, TLR4, and nuclear factor kappa-B signaling pathway and decreasing the generation of pro-inflammatory cytokines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{"citationItems":[{"id":"ITEM-1","itemData":{"DOI":"10.1016/j.lfs.2019.03.030","ISSN":"18790631","PMID":"30880023","abstract":"Inflammation contributes to the pathological processes in patients and animal models of PD. Rosmarinic acid (RA) has been demonstrated to protect neurons in PD models. The present study aimed to evaluate the anti-inflammatory effect of RA on PD and reveal possible pharmacological mechanisms. 1-Methyl-4-phenyl-1, 2, 3, 6-tetrahydropyridine (MPTP) was injected to mice to establish PD model in vivo. BV-2 cells were exposed to 1-methyl-4-phenylpyridinium (MPP + ) and α-synuclein to establish PD model in vitro. Results showed that treatment with RA dose-dependently improved motor function of PD mice, increased the number of tyrosine hydroxylase-positive cells, reduced production of pro-inflammatory cytokines, and inhibited microglia activation in ventral midbrain. In cell study, RA also decreased MPP + or α-synuclein-induced secretion of pro-inflammatory cytokines. Furthermore, RA treatment downregulated the expression levels of HMGB1, TLR4 and Myd88 and inhibited NF-κB nuclear expression both in PD animal and cell models. These findings indicated that RA could attenuate inflammatory responses through suppressing HMGB1/TLR4/NF-κB signaling pathway, which may contribute to its anti-PD activity.","author":[{"dropping-particle":"","family":"Lv","given":"Runxiao","non-dropping-particle":"","parse-names":false,"suffix":""},{"dropping-particle":"","family":"Du","given":"Lili","non-dropping-particle":"","parse-names":false,"suffix":""},{"dropping-particle":"","family":"Liu","given":"Xueyong","non-dropping-particle":"","parse-names":false,"suffix":""},{"dropping-particle":"","family":"Zhou","given":"Fenghua","non-dropping-particle":"","parse-names":false,"suffix":""},{"dropping-particle":"","family":"Zhang","given":"Zhiqiang","non-dropping-particle":"","parse-names":false,"suffix":""},{"dropping-particle":"","family":"Zhang","given":"Lixin","non-dropping-particle":"","parse-names":false,"suffix":""}],"container-title":"Life Sciences","id":"ITEM-1","issued":{"date-parts":[["2019"]]},"page":"158-165","publisher":"Elsevier","title":"Rosmarinic acid attenuates inflammatory responses through inhibiting HMGB1/TLR4/NF-κB signaling pathway in a mouse model of Parkinson's disease","type":"article-journal","volume":"223"},"uris":["http://www.mendeley.com/documents/?uuid=a604b57f-d69f-41e5-9d15-114880a2a08c"]}],"mendeley":{"formattedCitation":"(26)","plainTextFormattedCitation":"(26)","previouslyFormattedCitation":"(26)"},"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(26)</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w:t>
      </w:r>
      <w:r w:rsidRPr="00EF2430">
        <w:rPr>
          <w:rFonts w:ascii="Times New Roman" w:hAnsi="Times New Roman" w:cs="Times New Roman" w:hint="cs"/>
          <w:bCs/>
          <w:color w:val="000000" w:themeColor="text1"/>
          <w:spacing w:val="-2"/>
          <w:sz w:val="24"/>
          <w:szCs w:val="24"/>
          <w:rtl/>
        </w:rPr>
        <w:t xml:space="preserve"> </w:t>
      </w:r>
      <w:r w:rsidRPr="00EF2430">
        <w:rPr>
          <w:rFonts w:ascii="Times New Roman" w:hAnsi="Times New Roman" w:cs="Times New Roman"/>
          <w:bCs/>
          <w:color w:val="000000" w:themeColor="text1"/>
          <w:spacing w:val="-2"/>
          <w:sz w:val="24"/>
          <w:szCs w:val="24"/>
          <w:lang w:val="en"/>
        </w:rPr>
        <w:t>Given that TLRs play a crucial role in immune response and inflammation, it is plausible that RA could potentially impact TLR signaling, including TLR9. Our findings revealed that RA can reduce the expression of TLR9, suggesting the potential for further exploration of RA as a therapeutic agent in conditions where TLR9 activation plays a significant role.</w:t>
      </w:r>
    </w:p>
    <w:p w14:paraId="15DB9327" w14:textId="77777777" w:rsidR="003E6C57" w:rsidRPr="00EF2430" w:rsidRDefault="003E6C57" w:rsidP="00C44186">
      <w:pPr>
        <w:tabs>
          <w:tab w:val="left" w:pos="284"/>
        </w:tabs>
        <w:spacing w:after="0" w:line="240" w:lineRule="auto"/>
        <w:ind w:firstLine="284"/>
        <w:contextualSpacing/>
        <w:jc w:val="both"/>
        <w:outlineLvl w:val="0"/>
        <w:rPr>
          <w:rFonts w:ascii="Times New Roman" w:hAnsi="Times New Roman" w:cs="Times New Roman"/>
          <w:bCs/>
          <w:color w:val="000000" w:themeColor="text1"/>
          <w:spacing w:val="-2"/>
          <w:sz w:val="24"/>
          <w:szCs w:val="24"/>
          <w:lang w:val="en"/>
        </w:rPr>
      </w:pPr>
      <w:r w:rsidRPr="00EF2430">
        <w:rPr>
          <w:rFonts w:ascii="Times New Roman" w:hAnsi="Times New Roman" w:cs="Times New Roman"/>
          <w:bCs/>
          <w:color w:val="000000" w:themeColor="text1"/>
          <w:spacing w:val="-2"/>
          <w:sz w:val="24"/>
          <w:szCs w:val="24"/>
          <w:lang w:val="en"/>
        </w:rPr>
        <w:t>Furthermore, we observed that RA treatment significantly reduced the levels of IL-1β and TNF-α during both phases of PQ-induced lung injury. PQ interferes with the mitochondrial electron transport chain, causing mitochondrial DNA (</w:t>
      </w:r>
      <w:proofErr w:type="spellStart"/>
      <w:r w:rsidRPr="00EF2430">
        <w:rPr>
          <w:rFonts w:ascii="Times New Roman" w:hAnsi="Times New Roman" w:cs="Times New Roman"/>
          <w:bCs/>
          <w:color w:val="000000" w:themeColor="text1"/>
          <w:spacing w:val="-2"/>
          <w:sz w:val="24"/>
          <w:szCs w:val="24"/>
          <w:lang w:val="en"/>
        </w:rPr>
        <w:t>mtDNA</w:t>
      </w:r>
      <w:proofErr w:type="spellEnd"/>
      <w:r w:rsidRPr="00EF2430">
        <w:rPr>
          <w:rFonts w:ascii="Times New Roman" w:hAnsi="Times New Roman" w:cs="Times New Roman"/>
          <w:bCs/>
          <w:color w:val="000000" w:themeColor="text1"/>
          <w:spacing w:val="-2"/>
          <w:sz w:val="24"/>
          <w:szCs w:val="24"/>
          <w:lang w:val="en"/>
        </w:rPr>
        <w:t xml:space="preserve">) to leak into the cytoplasm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{"citationItems":[{"id":"ITEM-1","itemData":{"DOI":"10.1016/j.tox.2023.153506","ISSN":"18793185","PMID":"37028639","abstract":"Paraquat (PQ) poisoning can result in multiple organ dysfunction syndrome, mainly manifesting as acute lung injury and acute respiratory distress syndrome. No specific cure exists for PQ poisoning. However, by scavenging mitochondrial DNA (mtDNA), the damage-associated molecular pattern during PQ poisoning, mitophagy can ameliorate the downstream inflammatory pathways activated by mtDNA. Melatonin (MEL), however, can promote the expression of PINK1 and BNIP3, which are key proteins involved in mitophagy. In this study, we first explored whether MT could reduce PQ-induced acute lung injury by affecting mitophagy in animal models, and then, we studied the specific mechanism associated with this process through in vitro experiments. We also evaluated MEL intervention in the PQ group, while inhibiting the expression of PINK1 and BNIP3, to further determine whether the protective effects of MEL are associated with its effect on mitophagy. We found that when the expression of PINK1 and BNIP3 was inhibited, MEL intervention could not reduce mtDNA leakage and the release of inflammatory factors caused by PQ exposure, suggesting that the protective effect of MEL was blocked. These results suggest that by promoting the expression of PINK1 and BNIP3 and activating mitophagy, MEL can reduce mtDNA/TLR9-mediated acute lung injury during PQ poisoning. The results of this study could provide guidance for the clinical treatment of PQ poisoning to reduce associated mortality.","author":[{"dropping-particle":"","family":"Yin","given":"Yiyuan","non-dropping-particle":"","parse-names":false,"suffix":""},{"dropping-particle":"","family":"Shen","given":"Haitao","non-dropping-particle":"","parse-names":false,"suffix":""}],"container-title":"Toxicology","id":"ITEM-1","issued":{"date-parts":[["2023"]]},"page":"153506","publisher":"Elsevier","title":"Melatonin ameliorates acute lung injury caused by paraquat poisoning by promoting PINK1 and BNIP3 expression","type":"article-journal","volume":"490"},"uris":["http://www.mendeley.com/documents/?uuid=05023478-2bcb-42a2-bb40-d69b0ab395c6"]}],"mendeley":{"formattedCitation":"(27)","plainTextFormattedCitation":"(27)","previouslyFormattedCitation":"(27)"},"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(27)</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xml:space="preserve">. Given its lack of methylation, </w:t>
      </w:r>
      <w:proofErr w:type="spellStart"/>
      <w:r w:rsidRPr="00EF2430">
        <w:rPr>
          <w:rFonts w:ascii="Times New Roman" w:hAnsi="Times New Roman" w:cs="Times New Roman"/>
          <w:bCs/>
          <w:color w:val="000000" w:themeColor="text1"/>
          <w:spacing w:val="-2"/>
          <w:sz w:val="24"/>
          <w:szCs w:val="24"/>
          <w:lang w:val="en"/>
        </w:rPr>
        <w:t>mtDNA</w:t>
      </w:r>
      <w:proofErr w:type="spellEnd"/>
      <w:r w:rsidRPr="00EF2430">
        <w:rPr>
          <w:rFonts w:ascii="Times New Roman" w:hAnsi="Times New Roman" w:cs="Times New Roman"/>
          <w:bCs/>
          <w:color w:val="000000" w:themeColor="text1"/>
          <w:spacing w:val="-2"/>
          <w:sz w:val="24"/>
          <w:szCs w:val="24"/>
          <w:lang w:val="en"/>
        </w:rPr>
        <w:t xml:space="preserve"> is likely </w:t>
      </w:r>
      <w:proofErr w:type="spellStart"/>
      <w:r w:rsidRPr="00EF2430">
        <w:rPr>
          <w:rFonts w:ascii="Times New Roman" w:hAnsi="Times New Roman" w:cs="Times New Roman"/>
          <w:bCs/>
          <w:color w:val="000000" w:themeColor="text1"/>
          <w:spacing w:val="-2"/>
          <w:sz w:val="24"/>
          <w:szCs w:val="24"/>
          <w:lang w:val="en"/>
        </w:rPr>
        <w:t>ecognized</w:t>
      </w:r>
      <w:proofErr w:type="spellEnd"/>
      <w:r w:rsidRPr="00EF2430">
        <w:rPr>
          <w:rFonts w:ascii="Times New Roman" w:hAnsi="Times New Roman" w:cs="Times New Roman"/>
          <w:bCs/>
          <w:color w:val="000000" w:themeColor="text1"/>
          <w:spacing w:val="-2"/>
          <w:sz w:val="24"/>
          <w:szCs w:val="24"/>
          <w:lang w:val="en"/>
        </w:rPr>
        <w:t xml:space="preserve"> by TLR9, triggering subsequent inflammatory signaling pathways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{"citationItems":[{"id":"ITEM-1","itemData":{"DOI":"10.1038/nri.2017.21","ISSN":"14741741","PMID":"28393922","abstract":"Mitochondrial DNA (mtDNA)-which is well known for its role in oxidative phosphorylation and maternally inherited mitochondrial diseases-is increasingly recognized as an agonist of the innate immune system that influences antimicrobial responses and inflammatory pathology. On entering the cytoplasm, extracellular space or circulation, mtDNA can engage multiple pattern-recognition receptors in cell-type- and context-dependent manners to trigger pro-inflammatory and type I interferon responses. Here, we review the expanding research field of mtDNA in innate immune responses to highlight new mechanistic insights and discuss the physiological and pathological relevance of this exciting area of mitochondrial biology.","author":[{"dropping-particle":"","family":"West","given":"A. Phillip","non-dropping-particle":"","parse-names":false,"suffix":""},{"dropping-particle":"","family":"Shadel","given":"Gerald S.","non-dropping-particle":"","parse-names":false,"suffix":""}],"container-title":"Nature Reviews Immunology","id":"ITEM-1","issue":"6","issued":{"date-parts":[["2017"]]},"page":"363-375","publisher":"Nature Publishing Group UK London","title":"Mitochondrial DNA in innate immune responses and inflammatory pathology","type":"article-journal","volume":"17"},"uris":["http://www.mendeley.com/documents/?uuid=89ba8111-284a-43dc-b55b-2a502b24f556"]}],"mendeley":{"formattedCitation":"(28)","plainTextFormattedCitation":"(28)","previouslyFormattedCitation":"(28)"},"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(28)</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xml:space="preserve">. It is </w:t>
      </w:r>
      <w:r w:rsidRPr="00EF2430">
        <w:rPr>
          <w:rFonts w:ascii="Times New Roman" w:hAnsi="Times New Roman" w:cs="Times New Roman"/>
          <w:bCs/>
          <w:color w:val="000000" w:themeColor="text1"/>
          <w:spacing w:val="-2"/>
          <w:sz w:val="24"/>
          <w:szCs w:val="24"/>
          <w:lang w:val="en"/>
        </w:rPr>
        <w:t xml:space="preserve">known that several genes are expressed during inflammation, leading to fibroblast proliferation and increased collagen levels, resulting leading to pulmonary failure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{"citationItems":[{"id":"ITEM-1","itemData":{"DOI":"10.1007/s00018-020-03693-7","ISSN":"14209071","PMID":"33201251","abstract":"Idiopathic pulmonary fibrosis (IPF), the most common form of idiopathic interstitial pneumonia, is a progressive, irreversible, and typically lethal disease characterized by an abnormal fibrotic response involving vast areas of the lungs. Given the poor knowledge of the mechanisms underpinning IPF onset and progression, a better understanding of the cellular processes and molecular pathways involved is essential for the development of effective therapies, currently lacking. Besides a number of established IPF-associated risk factors, such as cigarette smoking, environmental factors, comorbidities, and viral infections, several other processes have been linked with this devastating disease. Apoptosis, senescence, epithelial-mesenchymal transition, endothelial-mesenchymal transition, and epithelial cell migration have been shown to play a key role in IPF-associated tissue remodeling. Moreover, molecules, such as chemokines, cytokines, growth factors, adenosine, glycosaminoglycans, non-coding RNAs, and cellular processes including oxidative stress, mitochondrial dysfunction, endoplasmic reticulum stress, hypoxia, and alternative polyadenylation have been linked with IPF development. Importantly, strategies targeting these processes have been investigated to modulate abnormal cellular phenotypes and maintain tissue homeostasis in the lung. This review provides an update regarding the emerging cellular and molecular mechanisms involved in the onset and progression of IPF.","author":[{"dropping-particle":"","family":"Phan","given":"Thị Hằng Giang","non-dropping-particle":"","parse-names":false,"suffix":""},{"dropping-particle":"","family":"Paliogiannis","given":"Panagiotis","non-dropping-particle":"","parse-names":false,"suffix":""},{"dropping-particle":"","family":"Nasrallah","given":"Gheyath K.","non-dropping-particle":"","parse-names":false,"suffix":""},{"dropping-particle":"","family":"Giordo","given":"Roberta","non-dropping-particle":"","parse-names":false,"suffix":""},{"dropping-particle":"","family":"Eid","given":"Ali Hussein","non-dropping-particle":"","parse-names":false,"suffix":""},{"dropping-particle":"","family":"Fois","given":"Alessandro Giuseppe","non-dropping-particle":"","parse-names":false,"suffix":""},{"dropping-particle":"","family":"Zinellu","given":"Angelo","non-dropping-particle":"","parse-names":false,"suffix":""},{"dropping-particle":"","family":"Mangoni","given":"Arduino Aleksander","non-dropping-particle":"","parse-names":false,"suffix":""},{"dropping-particle":"","family":"Pintus","given":"Gianfranco","non-dropping-particle":"","parse-names":false,"suffix":""}],"container-title":"Cellular and Molecular Life Sciences","id":"ITEM-1","issue":"5","issued":{"date-parts":[["2021"]]},"page":"2031-2057","publisher":"Springer","title":"Emerging cellular and molecular determinants of idiopathic pulmonary fibrosis","type":"article-journal","volume":"78"},"uris":["http://www.mendeley.com/documents/?uuid=d80dadfb-b286-4672-9c42-31536bd013f2"]}],"mendeley":{"formattedCitation":"(29)","plainTextFormattedCitation":"(29)","previouslyFormattedCitation":"(29)"},"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(29)</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w:t>
      </w:r>
      <w:r w:rsidRPr="00EF2430">
        <w:rPr>
          <w:rFonts w:ascii="Times New Roman" w:hAnsi="Times New Roman" w:cs="Times New Roman"/>
          <w:bCs/>
          <w:color w:val="000000" w:themeColor="text1"/>
          <w:spacing w:val="-2"/>
          <w:sz w:val="24"/>
          <w:szCs w:val="24"/>
          <w:lang w:val="en-GB"/>
        </w:rPr>
        <w:t xml:space="preserve"> </w:t>
      </w:r>
      <w:r w:rsidRPr="00EF2430">
        <w:rPr>
          <w:rFonts w:ascii="Times New Roman" w:hAnsi="Times New Roman" w:cs="Times New Roman"/>
          <w:bCs/>
          <w:color w:val="000000" w:themeColor="text1"/>
          <w:spacing w:val="-2"/>
          <w:sz w:val="24"/>
          <w:szCs w:val="24"/>
          <w:lang w:val="en"/>
        </w:rPr>
        <w:t xml:space="preserve">As previously reported, administration of PQ at a dose of 20 mg/kg increases lung injury by increasing cytokines, chemokines, and growth factors in mice </w:t>
      </w:r>
      <w:r w:rsidRPr="00EF2430">
        <w:rPr>
          <w:rFonts w:ascii="Times New Roman" w:hAnsi="Times New Roman" w:cs="Times New Roman"/>
          <w:bCs/>
          <w:color w:val="000000" w:themeColor="text1"/>
          <w:spacing w:val="-2"/>
          <w:sz w:val="24"/>
          <w:szCs w:val="24"/>
        </w:rPr>
        <w:fldChar w:fldCharType="begin" w:fldLock="1"/>
      </w:r>
      <w:r w:rsidRPr="00EF2430">
        <w:rPr>
          <w:rFonts w:ascii="Times New Roman" w:hAnsi="Times New Roman" w:cs="Times New Roman"/>
          <w:bCs/>
          <w:color w:val="000000" w:themeColor="text1"/>
          <w:spacing w:val="-2"/>
          <w:sz w:val="24"/>
          <w:szCs w:val="24"/>
        </w:rPr>
        <w:instrText>ADDIN CSL_CITATION {"citationItems":[{"id":"ITEM-1","itemData":{"DOI":"10.1016/j.cyto.2016.09.004","ISSN":"10960023","PMID":"27619518","abstract":"Paraquat is a highly toxic herbicide that selectively accumulates in the lungs and causes pulmonary damage through the oxidative and inflammatory processes. Carvedilol is a nonselective beta and alpha-adrenergic blocking agent that has been shown to possess powerful antioxidant and anti-inflammatory properties. In the present study, we evaluated the protective effects and the underlying mechanisms of carvedilol on paraquat-induced lung injury in a mouse model. Mice were injected with a single dose of paraquat (20 mg/kg, ip), and treated with carvedilol (10 and 20 mg/kg/day, orally) for eight days. At the end of the experiment, lung tissue and blood samples were collected for histological and biochemical analysis. The results showed that carvedilol treatment improved the histopathological changes in the lung tissue of mice exposed to paraquat. Carvedilol significantly decreased the levels of malondialdehyde (MDA), carbonyl protein, myeloperoxidase (MPO), and nitric oxide (NO), while increased the levels of glutathione (GSH), superoxide dismutase (SOD), catalase and glutathione reductase compared with paraquat group. Carvedilol treatment also significantly reduced the levels of proinflammatory cytokines tumor necrosis factor (TNF)-α, interleukin (IL)-1β, IL-6, transforming growth factor (TGF)-β1 and monocyte chemoattractant protein (MCP)-1 in the lung tissue. Treatment of mice with carvedilol decreased paraquat-induced expression of nuclear factor kappa B (NF-κB). In addition the plasma levels of matrix metalloproteinase (MMP)-9 and the lung hydroxyproline content significantly reduced by carvedilol treatment. Taken together, these results indicate that carvedilol is able to decrease the severity of paraquat-induced lung injury through inhibition of inflammation and oxidative stress.","author":[{"dropping-particle":"","family":"Amirshahrokhi","given":"Keyvan","non-dropping-particle":"","parse-names":false,"suffix":""},{"dropping-particle":"","family":"Khalili","given":"Ali Reza","non-dropping-particle":"","parse-names":false,"suffix":""}],"container-title":"Cytokine","id":"ITEM-1","issued":{"date-parts":[["2016"]]},"page":"144-153","publisher":"Elsevier","title":"Carvedilol attenuates paraquat-induced lung injury by inhibition of proinflammatory cytokines, chemokine MCP-1, NF-κB activation and oxidative stress mediators","type":"article-journal","volume":"88"},"uris":["http://www.mendeley.com/documents/?uuid=1ed39315-d435-4dd4-a26c-e915ce998449"]}],"mendeley":{"formattedCitation":"(30)","plainTextFormattedCitation":"(30)","previouslyFormattedCitation":"(30)"},"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rPr>
        <w:fldChar w:fldCharType="separate"/>
      </w:r>
      <w:r w:rsidRPr="00EF2430">
        <w:rPr>
          <w:rFonts w:ascii="Times New Roman" w:hAnsi="Times New Roman" w:cs="Times New Roman"/>
          <w:bCs/>
          <w:color w:val="000000" w:themeColor="text1"/>
          <w:spacing w:val="-2"/>
          <w:sz w:val="24"/>
          <w:szCs w:val="24"/>
        </w:rPr>
        <w:t>(30)</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rPr>
        <w:t>.</w:t>
      </w:r>
      <w:r w:rsidRPr="00EF2430">
        <w:rPr>
          <w:rFonts w:ascii="Times New Roman" w:hAnsi="Times New Roman" w:cs="Times New Roman"/>
          <w:bCs/>
          <w:color w:val="000000" w:themeColor="text1"/>
          <w:spacing w:val="-2"/>
          <w:sz w:val="24"/>
          <w:szCs w:val="24"/>
          <w:rtl/>
        </w:rPr>
        <w:t xml:space="preserve"> </w:t>
      </w:r>
      <w:r w:rsidRPr="00EF2430">
        <w:rPr>
          <w:rFonts w:ascii="Times New Roman" w:hAnsi="Times New Roman" w:cs="Times New Roman"/>
          <w:bCs/>
          <w:color w:val="000000" w:themeColor="text1"/>
          <w:spacing w:val="-2"/>
          <w:sz w:val="24"/>
          <w:szCs w:val="24"/>
          <w:lang w:val="en"/>
        </w:rPr>
        <w:t xml:space="preserve">The results of the current study indicate that PQ administration causes a significant reduction in the expression of IL-1β and TNF-α, which is consistent with previous studies </w:t>
      </w:r>
      <w:r w:rsidRPr="00EF2430">
        <w:rPr>
          <w:rFonts w:ascii="Times New Roman" w:hAnsi="Times New Roman" w:cs="Times New Roman"/>
          <w:bCs/>
          <w:color w:val="000000" w:themeColor="text1"/>
          <w:spacing w:val="-2"/>
          <w:sz w:val="24"/>
          <w:szCs w:val="24"/>
          <w:lang w:val="en"/>
        </w:rPr>
        <w:fldChar w:fldCharType="begin" w:fldLock="1"/>
      </w:r>
      <w:r w:rsidRPr="00EF2430">
        <w:rPr>
          <w:rFonts w:ascii="Times New Roman" w:hAnsi="Times New Roman" w:cs="Times New Roman"/>
          <w:bCs/>
          <w:color w:val="000000" w:themeColor="text1"/>
          <w:spacing w:val="-2"/>
          <w:sz w:val="24"/>
          <w:szCs w:val="24"/>
          <w:lang w:val="en"/>
        </w:rPr>
        <w:instrText>ADDIN CSL_CITATION {"citationItems":[{"id":"ITEM-1","itemData":{"DOI":"10.1007/s10753-014-0048-2","ISSN":"15732576","PMID":"25338942","abstract":"The innate immune response is important in paraquat-induced acute lung injury, but the exact pathways involved are not elucidated. The objectives of this study were to determine the specific role of the NLRP3 inflammasome in the process. Acute lung injury was induced by administering paraquat (PQ) intraperitoneally. NLRP3 inflammasome including NLRP3, ASC, and caspase-1 mRNA and protein expression in lung tissue and IL-1β and IL-18 levels in BALF were detected at 4, 8, 24, and 72 h after PQ administration in rats. Moreover, rats were pretreated with 10, 30, and 50 mg/kg NLRP3 inflammasome blocker glybenclamide, respectively, 1 h before PQ exposure. At 72 h after PQ administration, lung histopathology changes, NLRP3, ASC, and caspase-1 protein expression, as well as secretion of cytokines including IL-1β and IL-18 in BALF were investigated. The NLRP3 inflammasome including NLRP3, ASC, caspase-1 expression, and cytokines IL-1β and IL-18 levels in PQ poisoning rats were significantly higher than that in the control group. NLRP3 inflammasome blocker glybenclamide pretreatment attenuated lung edema, inhibited the NLRP3, ASC, and caspase-1 activation, and reduced IL-1β and IL-18 levels in BALF. In the in vitro experiments, IL-1β and IL-18 secreted from RAW264.7 mouse macrophages treated with paraquat were attenuated by glybenclamide. In conclusion, paraquat can induce IL-1β/IL-18 secretion via NLRP3-ASC-caspase-1 pathway, and the NLRP3 inflammasome is essential for paraquat-induced acute lung injury.","author":[{"dropping-particle":"","family":"Liu","given":"Zhenning","non-dropping-particle":"","parse-names":false,"suffix":""},{"dropping-particle":"","family":"Zhao","given":"Hongyu","non-dropping-particle":"","parse-names":false,"suffix":""},{"dropping-particle":"","family":"Liu","given":"Wei","non-dropping-particle":"","parse-names":false,"suffix":""},{"dropping-particle":"","family":"Li","given":"Tiegang","non-dropping-particle":"","parse-names":false,"suffix":""},{"dropping-particle":"","family":"Wang","given":"Yu","non-dropping-particle":"","parse-names":false,"suffix":""},{"dropping-particle":"","family":"Zhao","given":"Min","non-dropping-particle":"","parse-names":false,"suffix":""}],"container-title":"Inflammation","id":"ITEM-1","issue":"1","issued":{"date-parts":[["2015"]]},"page":"433-444","publisher":"Springer","title":"NLRP3 Inflammasome Activation Is Essential for Paraquat-Induced Acute Lung Injury","type":"article-journal","volume":"38"},"uris":["http://www.mendeley.com/documents/?uuid=bcdb06ce-dd4f-49b2-a441-1210d3d42e6e"]},{"id":"ITEM-2","itemData":{"DOI":"10.1016/j.ejps.2021.106053","ISSN":"18790720","PMID":"34728365","abstract":"Here, we reported a novel nanotherapeutic platform for paraquat (PQ)-induced acute lung injury in animal models using simvastatin (SV) loaded into Poly (lactic-co-glycolic acid) (PLGA) nanoparticles (NPs). In this way, Male Wistar rats orally received PQ (120 mg / kg) plus saline, SV (20 mg / kg) or PLGA–SV NPs containing 5, 10 and 20 mg SV/ kg. The levels of TNFα, IL-1β, IL-6 and glutathione content were evaluated. In addition, the pathological changes in the lung were monitored. Our results indicated that PQ (120 mg/kg) significantly reduced the body weight of rats compared to the control group. The most decrease in the level of inflammatory cytokines, bleeding, alveolar destruction as well as lymphocytic infiltration in the lung was observed at group treated with PLGA-SV NPs (10 mg). Free SV (20 mg) as well as PLGA-SV NPs (5 mg) modulated the inflammatory factors and glutathione content, however, they could not prevent tissue damage of PQ. Interestingly, PLGA-SV NPs (20 mg) could not improve the PQ- induced pulmonary damage. In conclusion, PLGA-SV NPs (10 mg) attenuated PQ-induced lung injury. The underlying mechanism may be relevant to increasing glutathione levels and inhibition of the production of inflammatory factors.","author":[{"dropping-particle":"","family":"Moshiri","given":"Mohammad","non-dropping-particle":"","parse-names":false,"suffix":""},{"dropping-particle":"","family":"Mehmannavaz","given":"Fahimeh","non-dropping-particle":"","parse-names":false,"suffix":""},{"dropping-particle":"","family":"Hashemi","given":"Maryam","non-dropping-particle":"","parse-names":false,"suffix":""},{"dropping-particle":"","family":"Yazdian-Robati","given":"Rezvan","non-dropping-particle":"","parse-names":false,"suffix":""},{"dropping-particle":"","family":"Shabazi","given":"Niosha","non-dropping-particle":"","parse-names":false,"suffix":""},{"dropping-particle":"","family":"Etemad","given":"Leila","non-dropping-particle":"","parse-names":false,"suffix":""}],"container-title":"European Journal of Pharmaceutical Sciences","id":"ITEM-2","issued":{"date-parts":[["2022"]]},"page":"106053","publisher":"Elsevier","title":"Evaluation of the efficiency of simvastatin loaded PLGA nanoparticles against acute paraquat-intoxicated rats","type":"article-journal","volume":"168"},"uris":["http://www.mendeley.com/documents/?uuid=f70c6fc3-cb7f-421d-954a-16040d7fc404"]}],"mendeley":{"formattedCitation":"(31,32)","plainTextFormattedCitation":"(31,32)","previouslyFormattedCitation":"(31,32)"},"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lang w:val="en"/>
        </w:rPr>
        <w:fldChar w:fldCharType="separate"/>
      </w:r>
      <w:r w:rsidRPr="00EF2430">
        <w:rPr>
          <w:rFonts w:ascii="Times New Roman" w:hAnsi="Times New Roman" w:cs="Times New Roman"/>
          <w:bCs/>
          <w:color w:val="000000" w:themeColor="text1"/>
          <w:spacing w:val="-2"/>
          <w:sz w:val="24"/>
          <w:szCs w:val="24"/>
          <w:lang w:val="en"/>
        </w:rPr>
        <w:t>(31, 32)</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xml:space="preserve">. Our results are consistent with previous studies showing that RA exerts anti-inflammatory effects by decreasing TNF-α, IL-6, and IL-1β levels in a lipopolysaccharide model of lung injury in mice </w:t>
      </w:r>
      <w:r w:rsidRPr="00EF2430">
        <w:rPr>
          <w:rFonts w:ascii="Times New Roman" w:hAnsi="Times New Roman" w:cs="Times New Roman"/>
          <w:bCs/>
          <w:color w:val="000000" w:themeColor="text1"/>
          <w:spacing w:val="-2"/>
          <w:sz w:val="24"/>
          <w:szCs w:val="24"/>
        </w:rPr>
        <w:fldChar w:fldCharType="begin" w:fldLock="1"/>
      </w:r>
      <w:r w:rsidRPr="00EF2430">
        <w:rPr>
          <w:rFonts w:ascii="Times New Roman" w:hAnsi="Times New Roman" w:cs="Times New Roman"/>
          <w:bCs/>
          <w:color w:val="000000" w:themeColor="text1"/>
          <w:spacing w:val="-2"/>
          <w:sz w:val="24"/>
          <w:szCs w:val="24"/>
        </w:rPr>
        <w:instrText>ADDIN CSL_CITATION {"citationItems":[{"id":"ITEM-1","itemData":{"DOI":"10.3390/molecules17033586","ISSN":"14203049","PMID":"22441336","abstract":"Rosmarinic acid (RA), a polyphenolic phytochemical, is a natural prolyl oligopeptidase inhibitor. In the present study, we found that RA exerted potent anti-inflammatory effects in in vivo models of acute lung injury (ALI) induced by lipopolysaccharide (LPS). Mice were pretreated with RA one hour before challenge with a dose of 0.5 mg/kg LPS. Twenty-four hours after LPS was given, bronchoalveolar lavage fluid (BALF) was obtained to measure pro-inflammatory mediator and total cell counts. RA significantly decreased the production of LPS-induced TNF-α, IL-6, and IL-1β compare with the LPS group. When pretreated with RA (5, 10, or 20 mg/kg) the lung wet-to-dry weight (W/D) ratio of the lung tissue and the number of total cells, neutrophils and macrophages in the BALF were decreased significantly. Furthermore, RA may enhance oxidase dimutase (SOD) activity during the inflammatory response to LPS-induced ALI. And we further demonstrated that RA exerts anti-inflammation effect in vivo models of ALI through suppresses ERK/MAPK signaling in a dose dependent manner. These studies have important implications for RA administration as a potential treatment for ALI. © 2012 by the authors.","author":[{"dropping-particle":"","family":"Chu","given":"Xiao","non-dropping-particle":"","parse-names":false,"suffix":""},{"dropping-particle":"","family":"Ci","given":"Xinxin","non-dropping-particle":"","parse-names":false,"suffix":""},{"dropping-particle":"","family":"He","given":"Jiakang","non-dropping-particle":"","parse-names":false,"suffix":""},{"dropping-particle":"","family":"Jiang","given":"Lanxiang","non-dropping-particle":"","parse-names":false,"suffix":""},{"dropping-particle":"","family":"Wei","given":"Miaomiao","non-dropping-particle":"","parse-names":false,"suffix":""},{"dropping-particle":"","family":"Cao","given":"Qingjun","non-dropping-particle":"","parse-names":false,"suffix":""},{"dropping-particle":"","family":"Guan","given":"Mingfeng","non-dropping-particle":"","parse-names":false,"suffix":""},{"dropping-particle":"","family":"Xie","given":"Xianxing","non-dropping-particle":"","parse-names":false,"suffix":""},{"dropping-particle":"","family":"Deng","given":"Xuming","non-dropping-particle":"","parse-names":false,"suffix":""}],"container-title":"Molecules","id":"ITEM-1","issue":"3","issued":{"date-parts":[["2012"]]},"page":"3586-3598","publisher":"MDPI","title":"Effects of a natural prolyl oligopeptidase inhibitor, rosmarinic acid, on lipopolysaccharide-induced acute lung injury in mice","type":"article-journal","volume":"17"},"uris":["http://www.mendeley.com/documents/?uuid=8e2fd223-e9cd-4c11-80f2-e52e6dbd36ab"]}],"mendeley":{"formattedCitation":"(33)","plainTextFormattedCitation":"(33)","previouslyFormattedCitation":"(33)"},"properties":{"noteIndex":0},"schema":"https://github.com/citation-style-language/schema/raw/master/csl-citation.json"}</w:instrText>
      </w:r>
      <w:r w:rsidRPr="00EF2430">
        <w:rPr>
          <w:rFonts w:ascii="Times New Roman" w:hAnsi="Times New Roman" w:cs="Times New Roman"/>
          <w:bCs/>
          <w:color w:val="000000" w:themeColor="text1"/>
          <w:spacing w:val="-2"/>
          <w:sz w:val="24"/>
          <w:szCs w:val="24"/>
        </w:rPr>
        <w:fldChar w:fldCharType="separate"/>
      </w:r>
      <w:r w:rsidRPr="00EF2430">
        <w:rPr>
          <w:rFonts w:ascii="Times New Roman" w:hAnsi="Times New Roman" w:cs="Times New Roman"/>
          <w:bCs/>
          <w:color w:val="000000" w:themeColor="text1"/>
          <w:spacing w:val="-2"/>
          <w:sz w:val="24"/>
          <w:szCs w:val="24"/>
        </w:rPr>
        <w:t>(33)</w:t>
      </w:r>
      <w:r w:rsidRPr="00EF2430">
        <w:rPr>
          <w:rFonts w:ascii="Times New Roman" w:hAnsi="Times New Roman" w:cs="Times New Roman"/>
          <w:bCs/>
          <w:color w:val="000000" w:themeColor="text1"/>
          <w:spacing w:val="-2"/>
          <w:sz w:val="24"/>
          <w:szCs w:val="24"/>
        </w:rPr>
        <w:fldChar w:fldCharType="end"/>
      </w:r>
      <w:r w:rsidRPr="00EF2430">
        <w:rPr>
          <w:rFonts w:ascii="Times New Roman" w:hAnsi="Times New Roman" w:cs="Times New Roman"/>
          <w:bCs/>
          <w:color w:val="000000" w:themeColor="text1"/>
          <w:spacing w:val="-2"/>
          <w:sz w:val="24"/>
          <w:szCs w:val="24"/>
          <w:lang w:val="en"/>
        </w:rPr>
        <w:t xml:space="preserve">. These results support the idea that RA's protective effects are linked to its anti-inflammatory properties, providing further evidence for its potential therapeutic use in </w:t>
      </w:r>
      <w:r w:rsidRPr="00EF2430">
        <w:rPr>
          <w:rFonts w:ascii="Times New Roman" w:hAnsi="Times New Roman" w:cs="Times New Roman"/>
          <w:bCs/>
          <w:color w:val="000000" w:themeColor="text1"/>
          <w:spacing w:val="-2"/>
          <w:sz w:val="24"/>
          <w:szCs w:val="24"/>
        </w:rPr>
        <w:t xml:space="preserve">treating </w:t>
      </w:r>
      <w:r w:rsidRPr="00EF2430">
        <w:rPr>
          <w:rFonts w:ascii="Times New Roman" w:hAnsi="Times New Roman" w:cs="Times New Roman"/>
          <w:bCs/>
          <w:color w:val="000000" w:themeColor="text1"/>
          <w:spacing w:val="-2"/>
          <w:sz w:val="24"/>
          <w:szCs w:val="24"/>
          <w:lang w:val="en"/>
        </w:rPr>
        <w:t>inflammatory lung injury conditions.</w:t>
      </w:r>
    </w:p>
    <w:p w14:paraId="23A8F172" w14:textId="77777777" w:rsidR="003E6C57" w:rsidRPr="00EF2430" w:rsidRDefault="003E6C57" w:rsidP="00C44186">
      <w:pPr>
        <w:tabs>
          <w:tab w:val="left" w:pos="284"/>
        </w:tabs>
        <w:spacing w:after="0" w:line="240" w:lineRule="auto"/>
        <w:ind w:firstLine="284"/>
        <w:contextualSpacing/>
        <w:jc w:val="both"/>
        <w:outlineLvl w:val="0"/>
        <w:rPr>
          <w:rFonts w:ascii="Times New Roman" w:hAnsi="Times New Roman" w:cs="Times New Roman"/>
          <w:bCs/>
          <w:color w:val="000000" w:themeColor="text1"/>
          <w:spacing w:val="-2"/>
          <w:sz w:val="24"/>
          <w:szCs w:val="24"/>
          <w:lang w:val="en"/>
        </w:rPr>
      </w:pPr>
      <w:r w:rsidRPr="00EF2430">
        <w:rPr>
          <w:rFonts w:ascii="Times New Roman" w:hAnsi="Times New Roman" w:cs="Times New Roman"/>
          <w:bCs/>
          <w:color w:val="000000" w:themeColor="text1"/>
          <w:spacing w:val="-2"/>
          <w:sz w:val="24"/>
          <w:szCs w:val="24"/>
          <w:lang w:val="en"/>
        </w:rPr>
        <w:t>While our study provides valuable insights into the therapeutic effects of RA on PQ-induced lung injury, it is essential to acknowledge its limitations. Future studies should focus on elucidating the precise mechanisms of RA's action and conducting clinical trials to validate its effectiveness in treating pulmonary diseases in humans. Such research will pave the way for developing novel therapies and guidelines for clinical diagnosis and treatment.</w:t>
      </w:r>
    </w:p>
    <w:p w14:paraId="234377AF" w14:textId="459F960C" w:rsidR="003E6C57" w:rsidRPr="00EF2430" w:rsidRDefault="003E6C57" w:rsidP="00C44186">
      <w:pPr>
        <w:tabs>
          <w:tab w:val="left" w:pos="284"/>
        </w:tabs>
        <w:spacing w:after="0" w:line="240" w:lineRule="auto"/>
        <w:ind w:firstLine="284"/>
        <w:contextualSpacing/>
        <w:jc w:val="both"/>
        <w:outlineLvl w:val="0"/>
        <w:rPr>
          <w:rFonts w:ascii="Times New Roman" w:hAnsi="Times New Roman" w:cs="Times New Roman"/>
          <w:bCs/>
          <w:color w:val="000000" w:themeColor="text1"/>
          <w:spacing w:val="-2"/>
          <w:sz w:val="24"/>
          <w:szCs w:val="24"/>
          <w:lang w:val="en-GB"/>
        </w:rPr>
      </w:pPr>
      <w:r w:rsidRPr="00EF2430">
        <w:rPr>
          <w:rFonts w:ascii="Times New Roman" w:hAnsi="Times New Roman" w:cs="Times New Roman"/>
          <w:bCs/>
          <w:color w:val="000000" w:themeColor="text1"/>
          <w:spacing w:val="-2"/>
          <w:sz w:val="24"/>
          <w:szCs w:val="24"/>
          <w:lang w:val="en-GB"/>
        </w:rPr>
        <w:t>Our findings underscore the potential of RA to protect against lung injury induced by PQ at various stages of PQ toxicity. This study provides compelling evidence that RA modulates inflammatory responses, as demonstrated by the downregulation of IL-1β, TNF-α,</w:t>
      </w:r>
      <w:r w:rsidRPr="00EF2430">
        <w:rPr>
          <w:rFonts w:ascii="Times New Roman" w:hAnsi="Times New Roman" w:cs="Times New Roman"/>
          <w:bCs/>
          <w:color w:val="000000" w:themeColor="text1"/>
          <w:spacing w:val="300"/>
          <w:sz w:val="24"/>
          <w:szCs w:val="24"/>
          <w:lang w:val="en-GB"/>
        </w:rPr>
        <w:t xml:space="preserve"> </w:t>
      </w:r>
      <w:r w:rsidRPr="00EF2430">
        <w:rPr>
          <w:rFonts w:ascii="Times New Roman" w:hAnsi="Times New Roman" w:cs="Times New Roman"/>
          <w:bCs/>
          <w:color w:val="000000" w:themeColor="text1"/>
          <w:spacing w:val="-2"/>
          <w:sz w:val="24"/>
          <w:szCs w:val="24"/>
          <w:lang w:val="en-GB"/>
        </w:rPr>
        <w:t>and</w:t>
      </w:r>
      <w:r w:rsidR="00C44186" w:rsidRPr="00EF2430">
        <w:rPr>
          <w:rFonts w:ascii="Times New Roman" w:hAnsi="Times New Roman" w:cs="Times New Roman"/>
          <w:bCs/>
          <w:color w:val="000000" w:themeColor="text1"/>
          <w:spacing w:val="400"/>
          <w:sz w:val="24"/>
          <w:szCs w:val="24"/>
          <w:lang w:val="en-GB"/>
        </w:rPr>
        <w:t xml:space="preserve"> </w:t>
      </w:r>
      <w:r w:rsidRPr="00EF2430">
        <w:rPr>
          <w:rFonts w:ascii="Times New Roman" w:hAnsi="Times New Roman" w:cs="Times New Roman"/>
          <w:bCs/>
          <w:color w:val="000000" w:themeColor="text1"/>
          <w:spacing w:val="-2"/>
          <w:sz w:val="24"/>
          <w:szCs w:val="24"/>
          <w:lang w:val="en-GB"/>
        </w:rPr>
        <w:t>TLR9.</w:t>
      </w:r>
      <w:r w:rsidR="00C44186" w:rsidRPr="00EF2430">
        <w:rPr>
          <w:rFonts w:ascii="Times New Roman" w:hAnsi="Times New Roman" w:cs="Times New Roman"/>
          <w:bCs/>
          <w:color w:val="000000" w:themeColor="text1"/>
          <w:spacing w:val="300"/>
          <w:sz w:val="24"/>
          <w:szCs w:val="24"/>
          <w:lang w:val="en-GB"/>
        </w:rPr>
        <w:t xml:space="preserve"> </w:t>
      </w:r>
      <w:r w:rsidRPr="00EF2430">
        <w:rPr>
          <w:rFonts w:ascii="Times New Roman" w:hAnsi="Times New Roman" w:cs="Times New Roman"/>
          <w:bCs/>
          <w:color w:val="000000" w:themeColor="text1"/>
          <w:spacing w:val="-2"/>
          <w:sz w:val="24"/>
          <w:szCs w:val="24"/>
          <w:lang w:val="en-GB"/>
        </w:rPr>
        <w:t>These</w:t>
      </w:r>
      <w:r w:rsidR="00C44186" w:rsidRPr="00EF2430">
        <w:rPr>
          <w:rFonts w:ascii="Times New Roman" w:hAnsi="Times New Roman" w:cs="Times New Roman"/>
          <w:bCs/>
          <w:color w:val="000000" w:themeColor="text1"/>
          <w:spacing w:val="400"/>
          <w:sz w:val="24"/>
          <w:szCs w:val="24"/>
          <w:lang w:val="en-GB"/>
        </w:rPr>
        <w:t xml:space="preserve"> </w:t>
      </w:r>
      <w:r w:rsidRPr="00EF2430">
        <w:rPr>
          <w:rFonts w:ascii="Times New Roman" w:hAnsi="Times New Roman" w:cs="Times New Roman"/>
          <w:bCs/>
          <w:color w:val="000000" w:themeColor="text1"/>
          <w:spacing w:val="-2"/>
          <w:sz w:val="24"/>
          <w:szCs w:val="24"/>
          <w:lang w:val="en-GB"/>
        </w:rPr>
        <w:t>results encourage</w:t>
      </w:r>
      <w:r w:rsidR="005F4A8F" w:rsidRPr="00EF2430">
        <w:rPr>
          <w:rFonts w:ascii="Times New Roman" w:hAnsi="Times New Roman" w:cs="Times New Roman"/>
          <w:bCs/>
          <w:color w:val="000000" w:themeColor="text1"/>
          <w:spacing w:val="-2"/>
          <w:sz w:val="24"/>
          <w:szCs w:val="24"/>
          <w:lang w:val="en-GB"/>
        </w:rPr>
        <w:t xml:space="preserve"> </w:t>
      </w:r>
      <w:r w:rsidRPr="00EF2430">
        <w:rPr>
          <w:rFonts w:ascii="Times New Roman" w:hAnsi="Times New Roman" w:cs="Times New Roman"/>
          <w:bCs/>
          <w:color w:val="000000" w:themeColor="text1"/>
          <w:spacing w:val="-2"/>
          <w:sz w:val="24"/>
          <w:szCs w:val="24"/>
          <w:lang w:val="en-GB"/>
        </w:rPr>
        <w:t>further research on RA as a promising therapeutic agent for treating PQ-induced lung injury.</w:t>
      </w:r>
    </w:p>
    <w:p w14:paraId="6E53432C"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Cs/>
          <w:color w:val="000000" w:themeColor="text1"/>
          <w:spacing w:val="-2"/>
          <w:sz w:val="24"/>
          <w:szCs w:val="24"/>
          <w:lang w:val="en-GB"/>
        </w:rPr>
      </w:pPr>
    </w:p>
    <w:p w14:paraId="0B44DD95"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color w:val="000000" w:themeColor="text1"/>
          <w:spacing w:val="-2"/>
          <w:sz w:val="28"/>
          <w:szCs w:val="28"/>
          <w:lang w:val="en-GB"/>
        </w:rPr>
      </w:pPr>
      <w:r w:rsidRPr="00EF2430">
        <w:rPr>
          <w:rFonts w:ascii="Times New Roman" w:hAnsi="Times New Roman" w:cs="Times New Roman"/>
          <w:b/>
          <w:bCs/>
          <w:color w:val="000000" w:themeColor="text1"/>
          <w:spacing w:val="-2"/>
          <w:sz w:val="28"/>
          <w:szCs w:val="28"/>
          <w:lang w:val="en-GB"/>
        </w:rPr>
        <w:t>Funding information</w:t>
      </w:r>
    </w:p>
    <w:p w14:paraId="6BF55480" w14:textId="7777777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color w:val="000000" w:themeColor="text1"/>
          <w:spacing w:val="-2"/>
          <w:sz w:val="24"/>
          <w:szCs w:val="24"/>
          <w:lang w:val="en-GB"/>
        </w:rPr>
      </w:pPr>
      <w:r w:rsidRPr="00EF2430">
        <w:rPr>
          <w:rFonts w:ascii="Times New Roman" w:hAnsi="Times New Roman" w:cs="Times New Roman"/>
          <w:bCs/>
          <w:color w:val="000000" w:themeColor="text1"/>
          <w:spacing w:val="-2"/>
          <w:sz w:val="24"/>
          <w:szCs w:val="24"/>
        </w:rPr>
        <w:t xml:space="preserve">This work received financial support from the Toxicology Research Center, Medical Basic Sciences Research Institute, Ahvaz </w:t>
      </w:r>
      <w:proofErr w:type="spellStart"/>
      <w:r w:rsidRPr="00EF2430">
        <w:rPr>
          <w:rFonts w:ascii="Times New Roman" w:hAnsi="Times New Roman" w:cs="Times New Roman"/>
          <w:bCs/>
          <w:color w:val="000000" w:themeColor="text1"/>
          <w:spacing w:val="-2"/>
          <w:sz w:val="24"/>
          <w:szCs w:val="24"/>
        </w:rPr>
        <w:t>Jundishapur</w:t>
      </w:r>
      <w:proofErr w:type="spellEnd"/>
      <w:r w:rsidRPr="00EF2430">
        <w:rPr>
          <w:rFonts w:ascii="Times New Roman" w:hAnsi="Times New Roman" w:cs="Times New Roman"/>
          <w:bCs/>
          <w:color w:val="000000" w:themeColor="text1"/>
          <w:spacing w:val="-2"/>
          <w:sz w:val="24"/>
          <w:szCs w:val="24"/>
        </w:rPr>
        <w:t xml:space="preserve"> University of Medical Sciences in Ahvaz, Iran (Grant Number: TRC-9713).</w:t>
      </w:r>
    </w:p>
    <w:p w14:paraId="3DB79542" w14:textId="0C8197F7" w:rsidR="003E6C57" w:rsidRPr="00EF2430" w:rsidRDefault="003E6C57" w:rsidP="003E6C57">
      <w:pPr>
        <w:tabs>
          <w:tab w:val="left" w:pos="284"/>
        </w:tabs>
        <w:spacing w:after="0" w:line="240" w:lineRule="auto"/>
        <w:contextualSpacing/>
        <w:jc w:val="both"/>
        <w:outlineLvl w:val="0"/>
        <w:rPr>
          <w:rFonts w:ascii="Times New Roman" w:hAnsi="Times New Roman" w:cs="Times New Roman"/>
          <w:b/>
          <w:bCs/>
          <w:color w:val="000000" w:themeColor="text1"/>
          <w:spacing w:val="-2"/>
          <w:sz w:val="28"/>
          <w:szCs w:val="28"/>
          <w:lang w:val="en-GB"/>
        </w:rPr>
      </w:pPr>
      <w:r w:rsidRPr="00EF2430">
        <w:rPr>
          <w:rFonts w:ascii="Times New Roman" w:hAnsi="Times New Roman" w:cs="Times New Roman"/>
          <w:b/>
          <w:bCs/>
          <w:color w:val="000000" w:themeColor="text1"/>
          <w:spacing w:val="-2"/>
          <w:sz w:val="28"/>
          <w:szCs w:val="28"/>
          <w:lang w:val="en-GB"/>
        </w:rPr>
        <w:lastRenderedPageBreak/>
        <w:t>Conflict of interest statement</w:t>
      </w:r>
    </w:p>
    <w:p w14:paraId="46E5C80A" w14:textId="07ACBA68" w:rsidR="003E6C57" w:rsidRPr="00EF2430" w:rsidRDefault="003E6C57" w:rsidP="003E6C57">
      <w:pPr>
        <w:tabs>
          <w:tab w:val="left" w:pos="284"/>
        </w:tabs>
        <w:spacing w:after="0" w:line="240" w:lineRule="auto"/>
        <w:contextualSpacing/>
        <w:jc w:val="both"/>
        <w:outlineLvl w:val="0"/>
        <w:rPr>
          <w:rFonts w:ascii="Times New Roman" w:hAnsi="Times New Roman" w:cs="Times New Roman"/>
          <w:bCs/>
          <w:color w:val="000000" w:themeColor="text1"/>
          <w:spacing w:val="-2"/>
          <w:sz w:val="24"/>
          <w:szCs w:val="24"/>
          <w:lang w:val="en-GB"/>
        </w:rPr>
      </w:pPr>
      <w:r w:rsidRPr="00EF2430">
        <w:rPr>
          <w:rFonts w:ascii="Times New Roman" w:hAnsi="Times New Roman" w:cs="Times New Roman"/>
          <w:bCs/>
          <w:color w:val="000000" w:themeColor="text1"/>
          <w:spacing w:val="-2"/>
          <w:sz w:val="24"/>
          <w:szCs w:val="24"/>
          <w:lang w:val="en-GB"/>
        </w:rPr>
        <w:t>The authors declare that there is no conflict of interest.</w:t>
      </w:r>
    </w:p>
    <w:p w14:paraId="0877DD35" w14:textId="77777777" w:rsidR="00C44186" w:rsidRPr="00895470" w:rsidRDefault="00C44186" w:rsidP="003E6C57">
      <w:pPr>
        <w:tabs>
          <w:tab w:val="left" w:pos="284"/>
        </w:tabs>
        <w:spacing w:after="0" w:line="240" w:lineRule="auto"/>
        <w:contextualSpacing/>
        <w:jc w:val="both"/>
        <w:outlineLvl w:val="0"/>
        <w:rPr>
          <w:rFonts w:ascii="Times New Roman" w:hAnsi="Times New Roman" w:cs="Times New Roman"/>
          <w:bCs/>
          <w:color w:val="000000" w:themeColor="text1"/>
          <w:spacing w:val="-2"/>
          <w:lang w:val="en-GB"/>
        </w:rPr>
      </w:pPr>
    </w:p>
    <w:p w14:paraId="7837F0E9" w14:textId="77777777" w:rsidR="003E6C57" w:rsidRPr="00EF2430" w:rsidRDefault="003E6C57" w:rsidP="00C44186">
      <w:pPr>
        <w:tabs>
          <w:tab w:val="left" w:pos="284"/>
        </w:tabs>
        <w:spacing w:before="240" w:after="0" w:line="240" w:lineRule="auto"/>
        <w:contextualSpacing/>
        <w:jc w:val="both"/>
        <w:outlineLvl w:val="0"/>
        <w:rPr>
          <w:rFonts w:ascii="Times New Roman" w:hAnsi="Times New Roman" w:cs="Times New Roman"/>
          <w:b/>
          <w:bCs/>
          <w:color w:val="000000" w:themeColor="text1"/>
          <w:spacing w:val="-2"/>
          <w:sz w:val="28"/>
          <w:szCs w:val="28"/>
          <w:lang w:val="en-GB"/>
        </w:rPr>
      </w:pPr>
      <w:r w:rsidRPr="00EF2430">
        <w:rPr>
          <w:rFonts w:ascii="Times New Roman" w:hAnsi="Times New Roman" w:cs="Times New Roman"/>
          <w:b/>
          <w:bCs/>
          <w:color w:val="000000" w:themeColor="text1"/>
          <w:spacing w:val="-2"/>
          <w:sz w:val="28"/>
          <w:szCs w:val="28"/>
          <w:lang w:val="en-GB"/>
        </w:rPr>
        <w:t>Acknowledgment</w:t>
      </w:r>
    </w:p>
    <w:p w14:paraId="130E9E87" w14:textId="258CB9FB" w:rsidR="00C81957" w:rsidRDefault="003E6C57" w:rsidP="00C81957">
      <w:pPr>
        <w:tabs>
          <w:tab w:val="left" w:pos="284"/>
        </w:tabs>
        <w:spacing w:after="0" w:line="240" w:lineRule="auto"/>
        <w:contextualSpacing/>
        <w:jc w:val="both"/>
        <w:outlineLvl w:val="0"/>
        <w:rPr>
          <w:rFonts w:ascii="Times New Roman" w:hAnsi="Times New Roman" w:cs="Times New Roman"/>
          <w:bCs/>
          <w:color w:val="000000" w:themeColor="text1"/>
          <w:spacing w:val="-2"/>
          <w:sz w:val="24"/>
          <w:szCs w:val="24"/>
          <w:lang w:val="en-GB"/>
        </w:rPr>
      </w:pPr>
      <w:r w:rsidRPr="00EF2430">
        <w:rPr>
          <w:rFonts w:ascii="Times New Roman" w:hAnsi="Times New Roman" w:cs="Times New Roman"/>
          <w:bCs/>
          <w:color w:val="000000" w:themeColor="text1"/>
          <w:spacing w:val="-2"/>
          <w:sz w:val="24"/>
          <w:szCs w:val="24"/>
          <w:lang w:val="en-GB"/>
        </w:rPr>
        <w:t>This article is derived from the Pharm.D</w:t>
      </w:r>
      <w:r w:rsidR="00A80B11" w:rsidRPr="00EF2430">
        <w:rPr>
          <w:rFonts w:ascii="Times New Roman" w:hAnsi="Times New Roman" w:cs="Times New Roman"/>
          <w:bCs/>
          <w:color w:val="000000" w:themeColor="text1"/>
          <w:spacing w:val="-2"/>
          <w:sz w:val="24"/>
          <w:szCs w:val="24"/>
          <w:lang w:val="en-GB"/>
        </w:rPr>
        <w:t>.</w:t>
      </w:r>
      <w:r w:rsidRPr="00EF2430">
        <w:rPr>
          <w:rFonts w:ascii="Times New Roman" w:hAnsi="Times New Roman" w:cs="Times New Roman"/>
          <w:bCs/>
          <w:color w:val="000000" w:themeColor="text1"/>
          <w:spacing w:val="-2"/>
          <w:sz w:val="24"/>
          <w:szCs w:val="24"/>
          <w:lang w:val="en-GB"/>
        </w:rPr>
        <w:t xml:space="preserve"> </w:t>
      </w:r>
      <w:r w:rsidR="0096079D" w:rsidRPr="00EF2430">
        <w:rPr>
          <w:rFonts w:ascii="Times New Roman" w:hAnsi="Times New Roman" w:cs="Times New Roman"/>
          <w:bCs/>
          <w:color w:val="000000" w:themeColor="text1"/>
          <w:spacing w:val="-2"/>
          <w:sz w:val="24"/>
          <w:szCs w:val="24"/>
          <w:lang w:val="en-GB"/>
        </w:rPr>
        <w:t>t</w:t>
      </w:r>
      <w:r w:rsidRPr="00EF2430">
        <w:rPr>
          <w:rFonts w:ascii="Times New Roman" w:hAnsi="Times New Roman" w:cs="Times New Roman"/>
          <w:bCs/>
          <w:color w:val="000000" w:themeColor="text1"/>
          <w:spacing w:val="-2"/>
          <w:sz w:val="24"/>
          <w:szCs w:val="24"/>
          <w:lang w:val="en-GB"/>
        </w:rPr>
        <w:t xml:space="preserve">hesis of Hadis </w:t>
      </w:r>
      <w:proofErr w:type="spellStart"/>
      <w:r w:rsidRPr="00EF2430">
        <w:rPr>
          <w:rFonts w:ascii="Times New Roman" w:hAnsi="Times New Roman" w:cs="Times New Roman"/>
          <w:bCs/>
          <w:color w:val="000000" w:themeColor="text1"/>
          <w:spacing w:val="-2"/>
          <w:sz w:val="24"/>
          <w:szCs w:val="24"/>
          <w:lang w:val="en-GB"/>
        </w:rPr>
        <w:t>Shayeganfar</w:t>
      </w:r>
      <w:proofErr w:type="spellEnd"/>
      <w:r w:rsidRPr="00EF2430">
        <w:rPr>
          <w:rFonts w:ascii="Times New Roman" w:hAnsi="Times New Roman" w:cs="Times New Roman"/>
          <w:bCs/>
          <w:color w:val="000000" w:themeColor="text1"/>
          <w:spacing w:val="-2"/>
          <w:sz w:val="24"/>
          <w:szCs w:val="24"/>
          <w:lang w:val="en-GB"/>
        </w:rPr>
        <w:t xml:space="preserve"> and was supported by </w:t>
      </w:r>
      <w:r w:rsidR="005F4A8F" w:rsidRPr="00EF2430">
        <w:rPr>
          <w:rFonts w:ascii="Times New Roman" w:hAnsi="Times New Roman" w:cs="Times New Roman"/>
          <w:bCs/>
          <w:color w:val="000000" w:themeColor="text1"/>
          <w:spacing w:val="-2"/>
          <w:sz w:val="24"/>
          <w:szCs w:val="24"/>
          <w:lang w:val="en-GB"/>
        </w:rPr>
        <w:t xml:space="preserve">Ahvaz </w:t>
      </w:r>
      <w:proofErr w:type="spellStart"/>
      <w:r w:rsidR="005F4A8F" w:rsidRPr="00EF2430">
        <w:rPr>
          <w:rFonts w:ascii="Times New Roman" w:hAnsi="Times New Roman" w:cs="Times New Roman"/>
          <w:bCs/>
          <w:color w:val="000000" w:themeColor="text1"/>
          <w:spacing w:val="-2"/>
          <w:sz w:val="24"/>
          <w:szCs w:val="24"/>
          <w:lang w:val="en-GB"/>
        </w:rPr>
        <w:t>Jundishapur</w:t>
      </w:r>
      <w:proofErr w:type="spellEnd"/>
      <w:r w:rsidR="005F4A8F" w:rsidRPr="00EF2430">
        <w:rPr>
          <w:rFonts w:ascii="Times New Roman" w:hAnsi="Times New Roman" w:cs="Times New Roman"/>
          <w:bCs/>
          <w:color w:val="000000" w:themeColor="text1"/>
          <w:spacing w:val="-2"/>
          <w:sz w:val="24"/>
          <w:szCs w:val="24"/>
          <w:lang w:val="en-GB"/>
        </w:rPr>
        <w:t xml:space="preserve"> University of Medical Sciences. </w:t>
      </w:r>
    </w:p>
    <w:p w14:paraId="22C79E2A" w14:textId="77777777" w:rsidR="00895470" w:rsidRPr="00895470" w:rsidRDefault="00895470" w:rsidP="00C81957">
      <w:pPr>
        <w:tabs>
          <w:tab w:val="left" w:pos="284"/>
        </w:tabs>
        <w:spacing w:after="0" w:line="240" w:lineRule="auto"/>
        <w:contextualSpacing/>
        <w:jc w:val="both"/>
        <w:outlineLvl w:val="0"/>
        <w:rPr>
          <w:rFonts w:ascii="Times New Roman" w:hAnsi="Times New Roman" w:cs="Times New Roman"/>
          <w:bCs/>
          <w:color w:val="000000" w:themeColor="text1"/>
          <w:spacing w:val="-2"/>
          <w:lang w:val="en-GB"/>
        </w:rPr>
      </w:pPr>
    </w:p>
    <w:p w14:paraId="7E30A534" w14:textId="6D313016" w:rsidR="00C81957" w:rsidRPr="00EF2430" w:rsidRDefault="00C81957" w:rsidP="00C81957">
      <w:pPr>
        <w:tabs>
          <w:tab w:val="left" w:pos="284"/>
        </w:tabs>
        <w:spacing w:after="0" w:line="240" w:lineRule="auto"/>
        <w:contextualSpacing/>
        <w:jc w:val="both"/>
        <w:outlineLvl w:val="0"/>
        <w:rPr>
          <w:rFonts w:asciiTheme="majorBidi" w:eastAsia="Arial" w:hAnsiTheme="majorBidi" w:cstheme="majorBidi"/>
          <w:b/>
          <w:bCs/>
          <w:sz w:val="28"/>
          <w:szCs w:val="28"/>
        </w:rPr>
      </w:pPr>
      <w:r w:rsidRPr="00EF2430">
        <w:rPr>
          <w:rFonts w:asciiTheme="majorBidi" w:eastAsia="Arial" w:hAnsiTheme="majorBidi" w:cstheme="majorBidi"/>
          <w:b/>
          <w:bCs/>
          <w:sz w:val="28"/>
          <w:szCs w:val="28"/>
        </w:rPr>
        <w:t>Authors’ Contributions</w:t>
      </w:r>
    </w:p>
    <w:p w14:paraId="1525463C" w14:textId="2B3EA7F0" w:rsidR="005F4A8F" w:rsidRPr="00EF2430" w:rsidRDefault="00C81957" w:rsidP="00C81957">
      <w:pPr>
        <w:tabs>
          <w:tab w:val="left" w:pos="284"/>
        </w:tabs>
        <w:spacing w:after="0" w:line="240" w:lineRule="auto"/>
        <w:contextualSpacing/>
        <w:jc w:val="both"/>
        <w:outlineLvl w:val="0"/>
        <w:rPr>
          <w:rFonts w:ascii="Times New Roman" w:hAnsi="Times New Roman" w:cs="Times New Roman"/>
          <w:bCs/>
          <w:color w:val="000000" w:themeColor="text1"/>
          <w:spacing w:val="-2"/>
          <w:sz w:val="24"/>
          <w:szCs w:val="24"/>
          <w:lang w:val="en-GB"/>
        </w:rPr>
      </w:pPr>
      <w:r w:rsidRPr="00EF2430">
        <w:rPr>
          <w:rFonts w:ascii="Times New Roman" w:hAnsi="Times New Roman" w:cs="Times New Roman"/>
          <w:bCs/>
          <w:color w:val="000000" w:themeColor="text1"/>
          <w:spacing w:val="-2"/>
          <w:sz w:val="24"/>
          <w:szCs w:val="24"/>
          <w:lang w:val="en-GB"/>
        </w:rPr>
        <w:t xml:space="preserve">M. N. </w:t>
      </w:r>
      <w:r w:rsidRPr="00C81957">
        <w:rPr>
          <w:rFonts w:ascii="Times New Roman" w:hAnsi="Times New Roman" w:cs="Times New Roman"/>
          <w:bCs/>
          <w:color w:val="000000" w:themeColor="text1"/>
          <w:spacing w:val="-2"/>
          <w:sz w:val="24"/>
          <w:szCs w:val="24"/>
          <w:lang w:val="en-GB"/>
        </w:rPr>
        <w:t xml:space="preserve">designed the study, contributed to experiments, and supervised the project. H. </w:t>
      </w:r>
      <w:proofErr w:type="spellStart"/>
      <w:r w:rsidRPr="00C81957">
        <w:rPr>
          <w:rFonts w:ascii="Times New Roman" w:hAnsi="Times New Roman" w:cs="Times New Roman"/>
          <w:bCs/>
          <w:color w:val="000000" w:themeColor="text1"/>
          <w:spacing w:val="-2"/>
          <w:sz w:val="24"/>
          <w:szCs w:val="24"/>
          <w:lang w:val="en-GB"/>
        </w:rPr>
        <w:t>Sh</w:t>
      </w:r>
      <w:proofErr w:type="spellEnd"/>
    </w:p>
    <w:p w14:paraId="3B9C2C6E" w14:textId="672BAE92" w:rsidR="005F4A8F" w:rsidRPr="00EF2430" w:rsidRDefault="00DF5453" w:rsidP="007D555F">
      <w:pPr>
        <w:tabs>
          <w:tab w:val="left" w:pos="284"/>
        </w:tabs>
        <w:spacing w:after="0" w:line="240" w:lineRule="auto"/>
        <w:contextualSpacing/>
        <w:jc w:val="both"/>
        <w:outlineLvl w:val="0"/>
        <w:rPr>
          <w:rFonts w:asciiTheme="majorBidi" w:eastAsia="Arial" w:hAnsiTheme="majorBidi" w:cstheme="majorBidi"/>
          <w:b/>
          <w:bCs/>
          <w:sz w:val="28"/>
          <w:szCs w:val="28"/>
        </w:rPr>
      </w:pPr>
      <w:r w:rsidRPr="00EF2430">
        <w:rPr>
          <w:rFonts w:asciiTheme="majorBidi" w:eastAsia="Arial" w:hAnsiTheme="majorBidi" w:cstheme="majorBidi"/>
          <w:b/>
          <w:bCs/>
          <w:sz w:val="28"/>
          <w:szCs w:val="28"/>
        </w:rPr>
        <w:br w:type="column"/>
      </w:r>
      <w:r w:rsidR="005F4A8F" w:rsidRPr="00EF2430">
        <w:rPr>
          <w:rFonts w:asciiTheme="majorBidi" w:eastAsia="Arial" w:hAnsiTheme="majorBidi" w:cstheme="majorBidi"/>
          <w:b/>
          <w:bCs/>
          <w:sz w:val="28"/>
          <w:szCs w:val="28"/>
        </w:rPr>
        <w:t>Authors’ Contributions</w:t>
      </w:r>
    </w:p>
    <w:p w14:paraId="6E4B7B79" w14:textId="3B6E363E" w:rsidR="005F4A8F" w:rsidRPr="00EF2430" w:rsidRDefault="00087DCB" w:rsidP="00DF5453">
      <w:pPr>
        <w:tabs>
          <w:tab w:val="left" w:pos="284"/>
        </w:tabs>
        <w:spacing w:after="0" w:line="240" w:lineRule="auto"/>
        <w:contextualSpacing/>
        <w:jc w:val="both"/>
        <w:outlineLvl w:val="0"/>
        <w:rPr>
          <w:rFonts w:ascii="Times New Roman" w:hAnsi="Times New Roman" w:cs="Times New Roman"/>
          <w:bCs/>
          <w:color w:val="000000" w:themeColor="text1"/>
          <w:spacing w:val="-2"/>
          <w:sz w:val="24"/>
          <w:szCs w:val="24"/>
          <w:lang w:val="en-GB"/>
        </w:rPr>
      </w:pPr>
      <w:r w:rsidRPr="00EF2430">
        <w:rPr>
          <w:rFonts w:ascii="Times New Roman" w:hAnsi="Times New Roman" w:cs="Times New Roman"/>
          <w:bCs/>
          <w:color w:val="000000" w:themeColor="text1"/>
          <w:spacing w:val="-2"/>
          <w:sz w:val="24"/>
          <w:szCs w:val="24"/>
          <w:lang w:val="en-GB"/>
        </w:rPr>
        <w:t>M</w:t>
      </w:r>
      <w:r w:rsidR="00DF5453" w:rsidRPr="00EF2430">
        <w:rPr>
          <w:rFonts w:ascii="Times New Roman" w:hAnsi="Times New Roman" w:cs="Times New Roman"/>
          <w:bCs/>
          <w:color w:val="000000" w:themeColor="text1"/>
          <w:spacing w:val="-2"/>
          <w:sz w:val="24"/>
          <w:szCs w:val="24"/>
          <w:lang w:val="en-GB"/>
        </w:rPr>
        <w:t xml:space="preserve">. N. </w:t>
      </w:r>
      <w:r w:rsidR="007D555F" w:rsidRPr="00C81957">
        <w:rPr>
          <w:rFonts w:ascii="Times New Roman" w:hAnsi="Times New Roman" w:cs="Times New Roman"/>
          <w:bCs/>
          <w:color w:val="000000" w:themeColor="text1"/>
          <w:spacing w:val="-2"/>
          <w:sz w:val="24"/>
          <w:szCs w:val="24"/>
          <w:lang w:val="en-GB"/>
        </w:rPr>
        <w:t xml:space="preserve">designed the study, contributed to </w:t>
      </w:r>
      <w:r w:rsidR="00FA5E07" w:rsidRPr="00C81957">
        <w:rPr>
          <w:rFonts w:ascii="Times New Roman" w:hAnsi="Times New Roman" w:cs="Times New Roman"/>
          <w:bCs/>
          <w:color w:val="000000" w:themeColor="text1"/>
          <w:spacing w:val="-2"/>
          <w:sz w:val="24"/>
          <w:szCs w:val="24"/>
          <w:lang w:val="en-GB"/>
        </w:rPr>
        <w:t>experiments</w:t>
      </w:r>
      <w:r w:rsidR="007D555F" w:rsidRPr="00C81957">
        <w:rPr>
          <w:rFonts w:ascii="Times New Roman" w:hAnsi="Times New Roman" w:cs="Times New Roman"/>
          <w:bCs/>
          <w:color w:val="000000" w:themeColor="text1"/>
          <w:spacing w:val="-2"/>
          <w:sz w:val="24"/>
          <w:szCs w:val="24"/>
          <w:lang w:val="en-GB"/>
        </w:rPr>
        <w:t>, and supervised the project</w:t>
      </w:r>
      <w:r w:rsidR="004C7C9F" w:rsidRPr="00C81957">
        <w:rPr>
          <w:rFonts w:ascii="Times New Roman" w:hAnsi="Times New Roman" w:cs="Times New Roman"/>
          <w:bCs/>
          <w:color w:val="000000" w:themeColor="text1"/>
          <w:spacing w:val="-2"/>
          <w:sz w:val="24"/>
          <w:szCs w:val="24"/>
          <w:lang w:val="en-GB"/>
        </w:rPr>
        <w:t>.</w:t>
      </w:r>
      <w:r w:rsidR="00854940" w:rsidRPr="00C81957">
        <w:rPr>
          <w:rFonts w:ascii="Times New Roman" w:hAnsi="Times New Roman" w:cs="Times New Roman"/>
          <w:bCs/>
          <w:color w:val="000000" w:themeColor="text1"/>
          <w:spacing w:val="-2"/>
          <w:sz w:val="24"/>
          <w:szCs w:val="24"/>
          <w:lang w:val="en-GB"/>
        </w:rPr>
        <w:t xml:space="preserve"> </w:t>
      </w:r>
      <w:r w:rsidR="00C56B14" w:rsidRPr="00C81957">
        <w:rPr>
          <w:rFonts w:ascii="Times New Roman" w:hAnsi="Times New Roman" w:cs="Times New Roman"/>
          <w:bCs/>
          <w:color w:val="000000" w:themeColor="text1"/>
          <w:spacing w:val="-2"/>
          <w:sz w:val="24"/>
          <w:szCs w:val="24"/>
          <w:lang w:val="en-GB"/>
        </w:rPr>
        <w:t>H</w:t>
      </w:r>
      <w:r w:rsidR="00DF5453" w:rsidRPr="00C81957">
        <w:rPr>
          <w:rFonts w:ascii="Times New Roman" w:hAnsi="Times New Roman" w:cs="Times New Roman"/>
          <w:bCs/>
          <w:color w:val="000000" w:themeColor="text1"/>
          <w:spacing w:val="-2"/>
          <w:sz w:val="24"/>
          <w:szCs w:val="24"/>
          <w:lang w:val="en-GB"/>
        </w:rPr>
        <w:t xml:space="preserve">. </w:t>
      </w:r>
      <w:proofErr w:type="spellStart"/>
      <w:r w:rsidR="00DF5453" w:rsidRPr="00C81957">
        <w:rPr>
          <w:rFonts w:ascii="Times New Roman" w:hAnsi="Times New Roman" w:cs="Times New Roman"/>
          <w:bCs/>
          <w:color w:val="000000" w:themeColor="text1"/>
          <w:spacing w:val="-2"/>
          <w:sz w:val="24"/>
          <w:szCs w:val="24"/>
          <w:lang w:val="en-GB"/>
        </w:rPr>
        <w:t>Sh</w:t>
      </w:r>
      <w:proofErr w:type="spellEnd"/>
      <w:r w:rsidR="00C56B14" w:rsidRPr="00C81957">
        <w:rPr>
          <w:rFonts w:ascii="Times New Roman" w:hAnsi="Times New Roman" w:cs="Times New Roman"/>
          <w:bCs/>
          <w:color w:val="000000" w:themeColor="text1"/>
          <w:spacing w:val="-2"/>
          <w:sz w:val="24"/>
          <w:szCs w:val="24"/>
          <w:lang w:val="en-GB"/>
        </w:rPr>
        <w:t xml:space="preserve"> </w:t>
      </w:r>
      <w:r w:rsidR="007D555F" w:rsidRPr="00C81957">
        <w:rPr>
          <w:rFonts w:ascii="Times New Roman" w:hAnsi="Times New Roman" w:cs="Times New Roman"/>
          <w:bCs/>
          <w:color w:val="000000" w:themeColor="text1"/>
          <w:spacing w:val="-2"/>
          <w:sz w:val="24"/>
          <w:szCs w:val="24"/>
          <w:lang w:val="en-GB"/>
        </w:rPr>
        <w:t>performed the experiments and curated the data</w:t>
      </w:r>
      <w:r w:rsidR="00C56B14" w:rsidRPr="00C81957">
        <w:rPr>
          <w:rFonts w:ascii="Times New Roman" w:hAnsi="Times New Roman" w:cs="Times New Roman"/>
          <w:bCs/>
          <w:color w:val="000000" w:themeColor="text1"/>
          <w:spacing w:val="-2"/>
          <w:sz w:val="24"/>
          <w:szCs w:val="24"/>
          <w:lang w:val="en-GB"/>
        </w:rPr>
        <w:t>. M</w:t>
      </w:r>
      <w:r w:rsidR="00DF5453" w:rsidRPr="00C81957">
        <w:rPr>
          <w:rFonts w:ascii="Times New Roman" w:hAnsi="Times New Roman" w:cs="Times New Roman"/>
          <w:bCs/>
          <w:color w:val="000000" w:themeColor="text1"/>
          <w:spacing w:val="-2"/>
          <w:sz w:val="24"/>
          <w:szCs w:val="24"/>
          <w:lang w:val="en-GB"/>
        </w:rPr>
        <w:t>. J. Kh</w:t>
      </w:r>
      <w:r w:rsidR="00854940" w:rsidRPr="00C81957">
        <w:rPr>
          <w:rFonts w:ascii="Times New Roman" w:hAnsi="Times New Roman" w:cs="Times New Roman"/>
          <w:bCs/>
          <w:color w:val="000000" w:themeColor="text1"/>
          <w:spacing w:val="-2"/>
          <w:sz w:val="24"/>
          <w:szCs w:val="24"/>
          <w:lang w:val="en-GB"/>
        </w:rPr>
        <w:t xml:space="preserve">. </w:t>
      </w:r>
      <w:r w:rsidR="00C81957" w:rsidRPr="00C81957">
        <w:rPr>
          <w:rFonts w:ascii="Times New Roman" w:hAnsi="Times New Roman" w:cs="Times New Roman"/>
          <w:bCs/>
          <w:color w:val="000000" w:themeColor="text1"/>
          <w:spacing w:val="-2"/>
          <w:sz w:val="24"/>
          <w:szCs w:val="24"/>
          <w:lang w:val="en-GB"/>
        </w:rPr>
        <w:t>contributed to the experiments and methodology.</w:t>
      </w:r>
      <w:r w:rsidR="00DF5453" w:rsidRPr="00C81957">
        <w:rPr>
          <w:rFonts w:ascii="Times New Roman" w:hAnsi="Times New Roman" w:cs="Times New Roman"/>
          <w:bCs/>
          <w:color w:val="000000" w:themeColor="text1"/>
          <w:spacing w:val="-2"/>
          <w:sz w:val="24"/>
          <w:szCs w:val="24"/>
          <w:lang w:val="en-GB"/>
        </w:rPr>
        <w:t xml:space="preserve"> </w:t>
      </w:r>
      <w:r w:rsidRPr="00C81957">
        <w:rPr>
          <w:rFonts w:ascii="Times New Roman" w:hAnsi="Times New Roman" w:cs="Times New Roman"/>
          <w:bCs/>
          <w:color w:val="000000" w:themeColor="text1"/>
          <w:spacing w:val="-2"/>
          <w:sz w:val="24"/>
          <w:szCs w:val="24"/>
          <w:lang w:val="en-GB"/>
        </w:rPr>
        <w:t>Sh</w:t>
      </w:r>
      <w:r w:rsidR="00DF5453" w:rsidRPr="00C81957">
        <w:rPr>
          <w:rFonts w:ascii="Times New Roman" w:hAnsi="Times New Roman" w:cs="Times New Roman"/>
          <w:bCs/>
          <w:color w:val="000000" w:themeColor="text1"/>
          <w:spacing w:val="-2"/>
          <w:sz w:val="24"/>
          <w:szCs w:val="24"/>
          <w:lang w:val="en-GB"/>
        </w:rPr>
        <w:t xml:space="preserve">. M. </w:t>
      </w:r>
      <w:proofErr w:type="spellStart"/>
      <w:r w:rsidR="007D555F" w:rsidRPr="00C81957">
        <w:rPr>
          <w:rFonts w:ascii="Times New Roman" w:hAnsi="Times New Roman" w:cs="Times New Roman"/>
          <w:bCs/>
          <w:color w:val="000000" w:themeColor="text1"/>
          <w:spacing w:val="-2"/>
          <w:sz w:val="24"/>
          <w:szCs w:val="24"/>
          <w:lang w:val="en-GB"/>
        </w:rPr>
        <w:t>analyzed</w:t>
      </w:r>
      <w:proofErr w:type="spellEnd"/>
      <w:r w:rsidR="007D555F" w:rsidRPr="00C81957">
        <w:rPr>
          <w:rFonts w:ascii="Times New Roman" w:hAnsi="Times New Roman" w:cs="Times New Roman"/>
          <w:bCs/>
          <w:color w:val="000000" w:themeColor="text1"/>
          <w:spacing w:val="-2"/>
          <w:sz w:val="24"/>
          <w:szCs w:val="24"/>
          <w:lang w:val="en-GB"/>
        </w:rPr>
        <w:t xml:space="preserve"> the data, prepared the figures, and </w:t>
      </w:r>
      <w:r w:rsidR="00917FA9" w:rsidRPr="00C81957">
        <w:rPr>
          <w:rFonts w:ascii="Times New Roman" w:hAnsi="Times New Roman" w:cs="Times New Roman"/>
          <w:bCs/>
          <w:color w:val="000000" w:themeColor="text1"/>
          <w:spacing w:val="-2"/>
          <w:sz w:val="24"/>
          <w:szCs w:val="24"/>
          <w:lang w:val="en-GB"/>
        </w:rPr>
        <w:t>wrote the manuscript</w:t>
      </w:r>
      <w:r w:rsidR="00854940" w:rsidRPr="00C81957">
        <w:rPr>
          <w:rFonts w:ascii="Times New Roman" w:hAnsi="Times New Roman" w:cs="Times New Roman"/>
          <w:bCs/>
          <w:color w:val="000000" w:themeColor="text1"/>
          <w:spacing w:val="-2"/>
          <w:sz w:val="24"/>
          <w:szCs w:val="24"/>
          <w:lang w:val="en-GB"/>
        </w:rPr>
        <w:t>.</w:t>
      </w:r>
      <w:r w:rsidR="00C56B14" w:rsidRPr="00C81957">
        <w:rPr>
          <w:rFonts w:ascii="Times New Roman" w:hAnsi="Times New Roman" w:cs="Times New Roman"/>
          <w:bCs/>
          <w:color w:val="000000" w:themeColor="text1"/>
          <w:spacing w:val="-2"/>
          <w:sz w:val="24"/>
          <w:szCs w:val="24"/>
          <w:lang w:val="en-GB"/>
        </w:rPr>
        <w:t xml:space="preserve"> </w:t>
      </w:r>
      <w:r w:rsidRPr="00C81957">
        <w:rPr>
          <w:rFonts w:ascii="Times New Roman" w:hAnsi="Times New Roman" w:cs="Times New Roman"/>
          <w:bCs/>
          <w:color w:val="000000" w:themeColor="text1"/>
          <w:spacing w:val="-2"/>
          <w:sz w:val="24"/>
          <w:szCs w:val="24"/>
          <w:lang w:val="en-GB"/>
        </w:rPr>
        <w:t>M</w:t>
      </w:r>
      <w:r w:rsidR="00DF5453" w:rsidRPr="00C81957">
        <w:rPr>
          <w:rFonts w:ascii="Times New Roman" w:hAnsi="Times New Roman" w:cs="Times New Roman"/>
          <w:bCs/>
          <w:color w:val="000000" w:themeColor="text1"/>
          <w:spacing w:val="-2"/>
          <w:sz w:val="24"/>
          <w:szCs w:val="24"/>
          <w:lang w:val="en-GB"/>
        </w:rPr>
        <w:t xml:space="preserve">. M. </w:t>
      </w:r>
      <w:r w:rsidR="007D555F" w:rsidRPr="00C81957">
        <w:rPr>
          <w:rFonts w:ascii="Times New Roman" w:hAnsi="Times New Roman" w:cs="Times New Roman"/>
          <w:bCs/>
          <w:color w:val="000000" w:themeColor="text1"/>
          <w:spacing w:val="-2"/>
          <w:sz w:val="24"/>
          <w:szCs w:val="24"/>
          <w:lang w:val="en-GB"/>
        </w:rPr>
        <w:t xml:space="preserve">supervised the </w:t>
      </w:r>
      <w:r w:rsidR="00EA4A8C" w:rsidRPr="00C81957">
        <w:rPr>
          <w:rFonts w:ascii="Times New Roman" w:hAnsi="Times New Roman" w:cs="Times New Roman"/>
          <w:bCs/>
          <w:color w:val="000000" w:themeColor="text1"/>
          <w:spacing w:val="-2"/>
          <w:sz w:val="24"/>
          <w:szCs w:val="24"/>
          <w:lang w:val="en-GB"/>
        </w:rPr>
        <w:t>project</w:t>
      </w:r>
      <w:r w:rsidRPr="00C81957">
        <w:rPr>
          <w:rFonts w:ascii="Times New Roman" w:hAnsi="Times New Roman" w:cs="Times New Roman"/>
          <w:bCs/>
          <w:color w:val="000000" w:themeColor="text1"/>
          <w:spacing w:val="-2"/>
          <w:sz w:val="24"/>
          <w:szCs w:val="24"/>
          <w:lang w:val="en-GB"/>
        </w:rPr>
        <w:t xml:space="preserve">. </w:t>
      </w:r>
      <w:r w:rsidR="00C56B14" w:rsidRPr="00C81957">
        <w:rPr>
          <w:rFonts w:ascii="Times New Roman" w:hAnsi="Times New Roman" w:cs="Times New Roman"/>
          <w:bCs/>
          <w:color w:val="000000" w:themeColor="text1"/>
          <w:spacing w:val="-2"/>
          <w:sz w:val="24"/>
          <w:szCs w:val="24"/>
          <w:lang w:val="en-GB"/>
        </w:rPr>
        <w:t>L</w:t>
      </w:r>
      <w:r w:rsidR="00DF5453" w:rsidRPr="00C81957">
        <w:rPr>
          <w:rFonts w:ascii="Times New Roman" w:hAnsi="Times New Roman" w:cs="Times New Roman"/>
          <w:bCs/>
          <w:color w:val="000000" w:themeColor="text1"/>
          <w:spacing w:val="-2"/>
          <w:sz w:val="24"/>
          <w:szCs w:val="24"/>
          <w:lang w:val="en-GB"/>
        </w:rPr>
        <w:t xml:space="preserve">. Kh. </w:t>
      </w:r>
      <w:r w:rsidR="00917FA9" w:rsidRPr="00C81957">
        <w:rPr>
          <w:rFonts w:ascii="Times New Roman" w:hAnsi="Times New Roman" w:cs="Times New Roman"/>
          <w:bCs/>
          <w:color w:val="000000" w:themeColor="text1"/>
          <w:spacing w:val="-2"/>
          <w:sz w:val="24"/>
          <w:szCs w:val="24"/>
          <w:lang w:val="en-GB"/>
        </w:rPr>
        <w:t>interpreted the pathology data</w:t>
      </w:r>
      <w:r w:rsidR="00854940" w:rsidRPr="00C81957">
        <w:rPr>
          <w:rFonts w:ascii="Times New Roman" w:hAnsi="Times New Roman" w:cs="Times New Roman"/>
          <w:bCs/>
          <w:color w:val="000000" w:themeColor="text1"/>
          <w:spacing w:val="-2"/>
          <w:sz w:val="24"/>
          <w:szCs w:val="24"/>
          <w:lang w:val="en-GB"/>
        </w:rPr>
        <w:t xml:space="preserve">. </w:t>
      </w:r>
      <w:r w:rsidR="00C56B14" w:rsidRPr="00C81957">
        <w:rPr>
          <w:rFonts w:ascii="Times New Roman" w:hAnsi="Times New Roman" w:cs="Times New Roman"/>
          <w:bCs/>
          <w:color w:val="000000" w:themeColor="text1"/>
          <w:spacing w:val="-2"/>
          <w:sz w:val="24"/>
          <w:szCs w:val="24"/>
          <w:lang w:val="en-GB"/>
        </w:rPr>
        <w:t>M</w:t>
      </w:r>
      <w:r w:rsidR="00DF5453" w:rsidRPr="00C81957">
        <w:rPr>
          <w:rFonts w:ascii="Times New Roman" w:hAnsi="Times New Roman" w:cs="Times New Roman"/>
          <w:bCs/>
          <w:color w:val="000000" w:themeColor="text1"/>
          <w:spacing w:val="-2"/>
          <w:sz w:val="24"/>
          <w:szCs w:val="24"/>
          <w:lang w:val="en-GB"/>
        </w:rPr>
        <w:t xml:space="preserve">. S. </w:t>
      </w:r>
      <w:r w:rsidR="007D555F" w:rsidRPr="00C81957">
        <w:rPr>
          <w:rFonts w:ascii="Times New Roman" w:hAnsi="Times New Roman" w:cs="Times New Roman"/>
          <w:bCs/>
          <w:color w:val="000000" w:themeColor="text1"/>
          <w:spacing w:val="-2"/>
          <w:sz w:val="24"/>
          <w:szCs w:val="24"/>
          <w:lang w:val="en-GB"/>
        </w:rPr>
        <w:t xml:space="preserve">conceptualized the study, contributed to methodology, </w:t>
      </w:r>
      <w:r w:rsidR="00605649" w:rsidRPr="00C81957">
        <w:rPr>
          <w:rFonts w:ascii="Times New Roman" w:hAnsi="Times New Roman" w:cs="Times New Roman"/>
          <w:bCs/>
          <w:color w:val="000000" w:themeColor="text1"/>
          <w:spacing w:val="-2"/>
          <w:sz w:val="24"/>
          <w:szCs w:val="24"/>
          <w:lang w:val="en-GB"/>
        </w:rPr>
        <w:t xml:space="preserve">supervised the </w:t>
      </w:r>
      <w:r w:rsidR="00956328" w:rsidRPr="00C81957">
        <w:rPr>
          <w:rFonts w:ascii="Times New Roman" w:hAnsi="Times New Roman" w:cs="Times New Roman"/>
          <w:bCs/>
          <w:color w:val="000000" w:themeColor="text1"/>
          <w:spacing w:val="-2"/>
          <w:sz w:val="24"/>
          <w:szCs w:val="24"/>
          <w:lang w:val="en-GB"/>
        </w:rPr>
        <w:t>project</w:t>
      </w:r>
      <w:r w:rsidR="00605649" w:rsidRPr="00C81957">
        <w:rPr>
          <w:rFonts w:ascii="Times New Roman" w:hAnsi="Times New Roman" w:cs="Times New Roman"/>
          <w:bCs/>
          <w:color w:val="000000" w:themeColor="text1"/>
          <w:spacing w:val="-2"/>
          <w:sz w:val="24"/>
          <w:szCs w:val="24"/>
          <w:lang w:val="en-GB"/>
        </w:rPr>
        <w:t xml:space="preserve">, and </w:t>
      </w:r>
      <w:r w:rsidR="007D555F" w:rsidRPr="00C81957">
        <w:rPr>
          <w:rFonts w:ascii="Times New Roman" w:hAnsi="Times New Roman" w:cs="Times New Roman"/>
          <w:bCs/>
          <w:color w:val="000000" w:themeColor="text1"/>
          <w:spacing w:val="-2"/>
          <w:sz w:val="24"/>
          <w:szCs w:val="24"/>
          <w:lang w:val="en-GB"/>
        </w:rPr>
        <w:t>managed project administratio</w:t>
      </w:r>
      <w:r w:rsidR="00605649" w:rsidRPr="00C81957">
        <w:rPr>
          <w:rFonts w:ascii="Times New Roman" w:hAnsi="Times New Roman" w:cs="Times New Roman"/>
          <w:bCs/>
          <w:color w:val="000000" w:themeColor="text1"/>
          <w:spacing w:val="-2"/>
          <w:sz w:val="24"/>
          <w:szCs w:val="24"/>
          <w:lang w:val="en-GB"/>
        </w:rPr>
        <w:t>n</w:t>
      </w:r>
      <w:r w:rsidRPr="00C81957">
        <w:rPr>
          <w:rFonts w:ascii="Times New Roman" w:hAnsi="Times New Roman" w:cs="Times New Roman"/>
          <w:bCs/>
          <w:color w:val="000000" w:themeColor="text1"/>
          <w:spacing w:val="-2"/>
          <w:sz w:val="24"/>
          <w:szCs w:val="24"/>
          <w:lang w:val="en-GB"/>
        </w:rPr>
        <w:t>. All authors read and approved the final manuscript.</w:t>
      </w:r>
    </w:p>
    <w:p w14:paraId="42DC94CF" w14:textId="55D92C75" w:rsidR="00DF5453" w:rsidRPr="00EF2430" w:rsidRDefault="00DF5453" w:rsidP="00044D6B">
      <w:pPr>
        <w:tabs>
          <w:tab w:val="left" w:pos="284"/>
        </w:tabs>
        <w:spacing w:after="0" w:line="240" w:lineRule="auto"/>
        <w:contextualSpacing/>
        <w:jc w:val="both"/>
        <w:outlineLvl w:val="0"/>
        <w:rPr>
          <w:rFonts w:ascii="Times New Roman" w:eastAsia="Times New Roman" w:hAnsi="Times New Roman" w:cs="Times New Roman"/>
          <w:color w:val="000000" w:themeColor="text1"/>
          <w:sz w:val="16"/>
          <w:szCs w:val="16"/>
        </w:rPr>
        <w:sectPr w:rsidR="00DF5453" w:rsidRPr="00EF2430" w:rsidSect="004A75E8">
          <w:type w:val="continuous"/>
          <w:pgSz w:w="11907" w:h="16840" w:code="9"/>
          <w:pgMar w:top="1588" w:right="1134" w:bottom="1588" w:left="1134" w:header="680" w:footer="680" w:gutter="0"/>
          <w:cols w:num="2" w:space="720"/>
          <w:titlePg/>
          <w:docGrid w:linePitch="360"/>
        </w:sectPr>
      </w:pPr>
    </w:p>
    <w:p w14:paraId="5EF97F21" w14:textId="1429C22B" w:rsidR="00275356" w:rsidRPr="00EF2430" w:rsidRDefault="00275356" w:rsidP="00044D6B">
      <w:pPr>
        <w:tabs>
          <w:tab w:val="left" w:pos="284"/>
        </w:tabs>
        <w:spacing w:after="0" w:line="240" w:lineRule="auto"/>
        <w:contextualSpacing/>
        <w:jc w:val="both"/>
        <w:outlineLvl w:val="0"/>
        <w:rPr>
          <w:rFonts w:asciiTheme="majorBidi" w:hAnsiTheme="majorBidi" w:cstheme="majorBidi"/>
          <w:color w:val="000000" w:themeColor="text1"/>
          <w:spacing w:val="-4"/>
          <w:sz w:val="24"/>
          <w:szCs w:val="24"/>
        </w:rPr>
      </w:pPr>
      <w:r w:rsidRPr="00EF2430">
        <w:rPr>
          <w:rFonts w:ascii="Times New Roman" w:eastAsia="Times New Roman" w:hAnsi="Times New Roman" w:cs="Times New Roman"/>
          <w:b/>
          <w:color w:val="000000" w:themeColor="text1"/>
          <w:sz w:val="28"/>
          <w:szCs w:val="28"/>
        </w:rPr>
        <w:t xml:space="preserve">References </w:t>
      </w:r>
    </w:p>
    <w:p w14:paraId="149936AB" w14:textId="77777777" w:rsidR="003E6C57" w:rsidRPr="00EF2430" w:rsidRDefault="003E6C57" w:rsidP="00DF5453">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lang w:val="en"/>
        </w:rPr>
        <w:fldChar w:fldCharType="begin" w:fldLock="1"/>
      </w:r>
      <w:r w:rsidRPr="00EF2430">
        <w:rPr>
          <w:rFonts w:asciiTheme="majorBidi" w:hAnsiTheme="majorBidi" w:cstheme="majorBidi"/>
          <w:bCs/>
          <w:color w:val="000000" w:themeColor="text1"/>
          <w:spacing w:val="-6"/>
          <w:sz w:val="24"/>
          <w:szCs w:val="24"/>
          <w:lang w:val="en"/>
        </w:rPr>
        <w:instrText xml:space="preserve">ADDIN Mendeley Bibliography CSL_BIBLIOGRAPHY </w:instrText>
      </w:r>
      <w:r w:rsidRPr="00EF2430">
        <w:rPr>
          <w:rFonts w:asciiTheme="majorBidi" w:hAnsiTheme="majorBidi" w:cstheme="majorBidi"/>
          <w:bCs/>
          <w:color w:val="000000" w:themeColor="text1"/>
          <w:spacing w:val="-6"/>
          <w:sz w:val="24"/>
          <w:szCs w:val="24"/>
          <w:lang w:val="en"/>
        </w:rPr>
        <w:fldChar w:fldCharType="separate"/>
      </w:r>
      <w:r w:rsidRPr="00EF2430">
        <w:rPr>
          <w:rFonts w:asciiTheme="majorBidi" w:hAnsiTheme="majorBidi" w:cstheme="majorBidi"/>
          <w:bCs/>
          <w:color w:val="000000" w:themeColor="text1"/>
          <w:spacing w:val="-6"/>
          <w:sz w:val="24"/>
          <w:szCs w:val="24"/>
        </w:rPr>
        <w:t>1.</w:t>
      </w:r>
      <w:r w:rsidRPr="00EF2430">
        <w:rPr>
          <w:rFonts w:asciiTheme="majorBidi" w:hAnsiTheme="majorBidi" w:cstheme="majorBidi"/>
          <w:bCs/>
          <w:color w:val="000000" w:themeColor="text1"/>
          <w:spacing w:val="-6"/>
          <w:sz w:val="24"/>
          <w:szCs w:val="24"/>
        </w:rPr>
        <w:tab/>
        <w:t xml:space="preserve">Amin F, Roohbakhsh A, Memarzia A, Kazerani HR, Boskabady MH. Immediate and late systemic and lung effects of inhaled paraquat in rats. J Hazard Mater. 2021;415:125633. </w:t>
      </w:r>
    </w:p>
    <w:p w14:paraId="54D2FFE8" w14:textId="77777777" w:rsidR="003E6C57" w:rsidRPr="00EF2430" w:rsidRDefault="003E6C57" w:rsidP="00DF5453">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w:t>
      </w:r>
      <w:r w:rsidRPr="00EF2430">
        <w:rPr>
          <w:rFonts w:asciiTheme="majorBidi" w:hAnsiTheme="majorBidi" w:cstheme="majorBidi"/>
          <w:bCs/>
          <w:color w:val="000000" w:themeColor="text1"/>
          <w:spacing w:val="-6"/>
          <w:sz w:val="24"/>
          <w:szCs w:val="24"/>
        </w:rPr>
        <w:tab/>
        <w:t xml:space="preserve">Martemucci G, Costagliola C, Mariano M, D’andrea L, Napolitano P, D’Alessandro AG. Free Radical Properties, Source and Targets, Antioxidant Consumption and Health. Oxygen. 2022;2(2):48–78. </w:t>
      </w:r>
    </w:p>
    <w:p w14:paraId="3DB0538E" w14:textId="77777777" w:rsidR="003E6C57" w:rsidRPr="00EF2430" w:rsidRDefault="003E6C57" w:rsidP="00DF5453">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3.</w:t>
      </w:r>
      <w:r w:rsidRPr="00EF2430">
        <w:rPr>
          <w:rFonts w:asciiTheme="majorBidi" w:hAnsiTheme="majorBidi" w:cstheme="majorBidi"/>
          <w:bCs/>
          <w:color w:val="000000" w:themeColor="text1"/>
          <w:spacing w:val="-6"/>
          <w:sz w:val="24"/>
          <w:szCs w:val="24"/>
        </w:rPr>
        <w:tab/>
        <w:t xml:space="preserve">Dinis-Oliveira RJ, Duarte JA, Sánchez-Navarro A, Remião F, Bastos ML, Carvalho F. Paraquat poisonings: Mechanisms of lung toxicity, clinical features, and treatment. Crit Rev Toxicol. 2008;38(1):13–71. </w:t>
      </w:r>
    </w:p>
    <w:p w14:paraId="3082341F" w14:textId="77777777" w:rsidR="003E6C57" w:rsidRPr="00EF2430" w:rsidRDefault="003E6C57" w:rsidP="00DF5453">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4.</w:t>
      </w:r>
      <w:r w:rsidRPr="00EF2430">
        <w:rPr>
          <w:rFonts w:asciiTheme="majorBidi" w:hAnsiTheme="majorBidi" w:cstheme="majorBidi"/>
          <w:bCs/>
          <w:color w:val="000000" w:themeColor="text1"/>
          <w:spacing w:val="-6"/>
          <w:sz w:val="24"/>
          <w:szCs w:val="24"/>
        </w:rPr>
        <w:tab/>
        <w:t xml:space="preserve">Chua F, Gauldie J, Laurent GJ. Pulmonary fibrosis: Searching for model answers. Am J Respir Cell Mol Biol. 2005;33(1):9–13. </w:t>
      </w:r>
    </w:p>
    <w:p w14:paraId="0E165252" w14:textId="77777777" w:rsidR="003E6C57" w:rsidRPr="00EF2430" w:rsidRDefault="003E6C57" w:rsidP="00DF5453">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5.</w:t>
      </w:r>
      <w:r w:rsidRPr="00EF2430">
        <w:rPr>
          <w:rFonts w:asciiTheme="majorBidi" w:hAnsiTheme="majorBidi" w:cstheme="majorBidi"/>
          <w:bCs/>
          <w:color w:val="000000" w:themeColor="text1"/>
          <w:spacing w:val="-6"/>
          <w:sz w:val="24"/>
          <w:szCs w:val="24"/>
        </w:rPr>
        <w:tab/>
        <w:t xml:space="preserve">Rezaie F, Khosroshahi AG, Larki-Harchegani A, Nourian A, Khosravi H. Hydroalcoholic Sumac Extract as a Protective Agent Against X-Ray-Induced Pulmonary Fibrosis. Reports Biochem Mol Biol. 2024;13(2):231. </w:t>
      </w:r>
    </w:p>
    <w:p w14:paraId="0960CB17" w14:textId="77777777" w:rsidR="003E6C57" w:rsidRPr="00EF2430" w:rsidRDefault="003E6C57" w:rsidP="00DF5453">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6.</w:t>
      </w:r>
      <w:r w:rsidRPr="00EF2430">
        <w:rPr>
          <w:rFonts w:asciiTheme="majorBidi" w:hAnsiTheme="majorBidi" w:cstheme="majorBidi"/>
          <w:bCs/>
          <w:color w:val="000000" w:themeColor="text1"/>
          <w:spacing w:val="-6"/>
          <w:sz w:val="24"/>
          <w:szCs w:val="24"/>
        </w:rPr>
        <w:tab/>
        <w:t xml:space="preserve">Zhi Q, Sun H, Qian X, Yang L. Edaravone, a novel antidote against lung injury and pulmonary fibrosis induced by paraquat? Int Immunopharmacol. 2011;11(1):96–102. </w:t>
      </w:r>
    </w:p>
    <w:p w14:paraId="615BE6C7" w14:textId="77777777" w:rsidR="003E6C57" w:rsidRPr="00EF2430" w:rsidRDefault="003E6C57" w:rsidP="00DF5453">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7.</w:t>
      </w:r>
      <w:r w:rsidRPr="00EF2430">
        <w:rPr>
          <w:rFonts w:asciiTheme="majorBidi" w:hAnsiTheme="majorBidi" w:cstheme="majorBidi"/>
          <w:bCs/>
          <w:color w:val="000000" w:themeColor="text1"/>
          <w:spacing w:val="-6"/>
          <w:sz w:val="24"/>
          <w:szCs w:val="24"/>
        </w:rPr>
        <w:tab/>
        <w:t xml:space="preserve">Bertollo AG, da Silva GB, da Cunha ICE, Bagatini MD, Ignácio ZM. Redox impairment in affective disorders and therapeutic potential of phenolic bioactive compounds. In: Natural Molecules in Neuroprotection and Neurotoxicity. Elsevier; 2024; 121–45. </w:t>
      </w:r>
    </w:p>
    <w:p w14:paraId="01EE522D" w14:textId="77777777" w:rsidR="00C81957" w:rsidRDefault="003E6C57" w:rsidP="00C81957">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8.</w:t>
      </w:r>
      <w:r w:rsidRPr="00EF2430">
        <w:rPr>
          <w:rFonts w:asciiTheme="majorBidi" w:hAnsiTheme="majorBidi" w:cstheme="majorBidi"/>
          <w:bCs/>
          <w:color w:val="000000" w:themeColor="text1"/>
          <w:spacing w:val="-6"/>
          <w:sz w:val="24"/>
          <w:szCs w:val="24"/>
        </w:rPr>
        <w:tab/>
        <w:t xml:space="preserve">Esmeeta A, Adhikary S, Dharshnaa V, Swarnamughi P, Ummul Maqsummiya Z, </w:t>
      </w:r>
    </w:p>
    <w:p w14:paraId="78A51F95" w14:textId="77777777" w:rsidR="00C81957" w:rsidRPr="00895470" w:rsidRDefault="00C81957" w:rsidP="00C81957">
      <w:pPr>
        <w:tabs>
          <w:tab w:val="left" w:pos="284"/>
        </w:tabs>
        <w:spacing w:after="0" w:line="240" w:lineRule="auto"/>
        <w:jc w:val="both"/>
        <w:outlineLvl w:val="0"/>
        <w:rPr>
          <w:rFonts w:asciiTheme="majorBidi" w:hAnsiTheme="majorBidi" w:cstheme="majorBidi"/>
          <w:bCs/>
          <w:color w:val="000000" w:themeColor="text1"/>
          <w:spacing w:val="-6"/>
          <w:sz w:val="28"/>
          <w:szCs w:val="28"/>
        </w:rPr>
      </w:pPr>
    </w:p>
    <w:p w14:paraId="1DB14DB1" w14:textId="2ED33BAD" w:rsidR="003E6C57" w:rsidRPr="00EF2430" w:rsidRDefault="003E6C57" w:rsidP="00C81957">
      <w:pPr>
        <w:tabs>
          <w:tab w:val="left" w:pos="284"/>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 xml:space="preserve">Banerjee A, et al. Plant-derived bioactive compounds in colon cancer treatment: An updated review. Biomed Pharmacother. 2022;153:113384. </w:t>
      </w:r>
    </w:p>
    <w:p w14:paraId="35FE3A45"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9.</w:t>
      </w:r>
      <w:r w:rsidRPr="00EF2430">
        <w:rPr>
          <w:rFonts w:asciiTheme="majorBidi" w:hAnsiTheme="majorBidi" w:cstheme="majorBidi"/>
          <w:bCs/>
          <w:color w:val="000000" w:themeColor="text1"/>
          <w:spacing w:val="-6"/>
          <w:sz w:val="24"/>
          <w:szCs w:val="24"/>
        </w:rPr>
        <w:tab/>
        <w:t xml:space="preserve">Alavi MS, Fanoudi S, Ghasemzadeh Rahbardar M, Mehri S, Hosseinzadeh H. An updated review of protective effects of rosemary and its active constituents against natural and chemical toxicities. Phyther Res. 2021;35(3):1313–28. </w:t>
      </w:r>
    </w:p>
    <w:p w14:paraId="750E4108"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10.</w:t>
      </w:r>
      <w:r w:rsidRPr="00EF2430">
        <w:rPr>
          <w:rFonts w:asciiTheme="majorBidi" w:hAnsiTheme="majorBidi" w:cstheme="majorBidi"/>
          <w:bCs/>
          <w:color w:val="000000" w:themeColor="text1"/>
          <w:spacing w:val="-6"/>
          <w:sz w:val="24"/>
          <w:szCs w:val="24"/>
        </w:rPr>
        <w:tab/>
        <w:t xml:space="preserve">Nadeem M, Imran M, Gondal TA, Imran A, Shahbaz M, Amir RM, et al. Therapeutic potential of rosmarinic acid: A comprehensive review. Appl Sci. 2019;9(15):3139. </w:t>
      </w:r>
    </w:p>
    <w:p w14:paraId="3EE1B330"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11.</w:t>
      </w:r>
      <w:r w:rsidRPr="00EF2430">
        <w:rPr>
          <w:rFonts w:asciiTheme="majorBidi" w:hAnsiTheme="majorBidi" w:cstheme="majorBidi"/>
          <w:bCs/>
          <w:color w:val="000000" w:themeColor="text1"/>
          <w:spacing w:val="-6"/>
          <w:sz w:val="24"/>
          <w:szCs w:val="24"/>
        </w:rPr>
        <w:tab/>
        <w:t xml:space="preserve">Wei Y, Chen J, Hu Y, Lu W, Zhang X, Wang R, et al. Rosmarinic Acid Mitigates Lipopolysaccharide-Induced Neuroinflammatory Responses through the Inhibition of TLR4 and CD14 Expression and NF-κB and NLRP3 Inflammasome Activation. Inflammation. 2018;41(2):732–40. </w:t>
      </w:r>
    </w:p>
    <w:p w14:paraId="73A405D6"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12.</w:t>
      </w:r>
      <w:r w:rsidRPr="00EF2430">
        <w:rPr>
          <w:rFonts w:asciiTheme="majorBidi" w:hAnsiTheme="majorBidi" w:cstheme="majorBidi"/>
          <w:bCs/>
          <w:color w:val="000000" w:themeColor="text1"/>
          <w:spacing w:val="-6"/>
          <w:sz w:val="24"/>
          <w:szCs w:val="24"/>
        </w:rPr>
        <w:tab/>
        <w:t xml:space="preserve">Jiang K, Ma X, Guo S, Zhang T, Zhao G, Wu H, et al. Anti-inflammatory Effects of rosmarinic Acid in Lipopolysaccharide-Induced Mastitis in Mice. Inflammation. 2018;41(2):437–48. </w:t>
      </w:r>
    </w:p>
    <w:p w14:paraId="7680D4EE"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13.</w:t>
      </w:r>
      <w:r w:rsidRPr="00EF2430">
        <w:rPr>
          <w:rFonts w:asciiTheme="majorBidi" w:hAnsiTheme="majorBidi" w:cstheme="majorBidi"/>
          <w:bCs/>
          <w:color w:val="000000" w:themeColor="text1"/>
          <w:spacing w:val="-6"/>
          <w:sz w:val="24"/>
          <w:szCs w:val="24"/>
        </w:rPr>
        <w:tab/>
        <w:t xml:space="preserve">Luo C, Zou L, Sun H, Peng J, Gao C, Bao L, et al. A Review of the Anti-Inflammatory Effects of Rosmarinic Acid on Inflammatory Diseases. Front Pharmacol. 2020;11:153. </w:t>
      </w:r>
    </w:p>
    <w:p w14:paraId="32FE9E1A" w14:textId="77777777" w:rsidR="00DF5453" w:rsidRPr="00EF2430" w:rsidRDefault="003E6C57" w:rsidP="00DF5453">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14.</w:t>
      </w:r>
      <w:r w:rsidRPr="00EF2430">
        <w:rPr>
          <w:rFonts w:asciiTheme="majorBidi" w:hAnsiTheme="majorBidi" w:cstheme="majorBidi"/>
          <w:bCs/>
          <w:color w:val="000000" w:themeColor="text1"/>
          <w:spacing w:val="-6"/>
          <w:sz w:val="24"/>
          <w:szCs w:val="24"/>
        </w:rPr>
        <w:tab/>
        <w:t xml:space="preserve">Chen Y, Nie YC, Luo YL, Lin F, Zheng YF, Cheng GH, et al. Protective effects of naringin against paraquat-induced acute lung injury and pulmonary fibrosis in mice. Food Chem Toxicol. 2013;58:133–40. </w:t>
      </w:r>
    </w:p>
    <w:p w14:paraId="07B20D68" w14:textId="3883CA8F" w:rsidR="003E6C57" w:rsidRPr="00EF2430" w:rsidRDefault="003E6C57" w:rsidP="00DF5453">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lastRenderedPageBreak/>
        <w:t>15.</w:t>
      </w:r>
      <w:r w:rsidRPr="00EF2430">
        <w:rPr>
          <w:rFonts w:asciiTheme="majorBidi" w:hAnsiTheme="majorBidi" w:cstheme="majorBidi"/>
          <w:bCs/>
          <w:color w:val="000000" w:themeColor="text1"/>
          <w:spacing w:val="-6"/>
          <w:sz w:val="24"/>
          <w:szCs w:val="24"/>
        </w:rPr>
        <w:tab/>
        <w:t xml:space="preserve">Zhang X, Ma ZG, Yuan YP, Xu SC, Wei WY, Song P, et al. Rosmarinic acid attenuates cardiac fibrosis following long-term pressure overload via AMPKα/Smad3 signaling article. Cell Death Dis. 2018;9(2):102. </w:t>
      </w:r>
    </w:p>
    <w:p w14:paraId="54B90447"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16.</w:t>
      </w:r>
      <w:r w:rsidRPr="00EF2430">
        <w:rPr>
          <w:rFonts w:asciiTheme="majorBidi" w:hAnsiTheme="majorBidi" w:cstheme="majorBidi"/>
          <w:bCs/>
          <w:color w:val="000000" w:themeColor="text1"/>
          <w:spacing w:val="-6"/>
          <w:sz w:val="24"/>
          <w:szCs w:val="24"/>
        </w:rPr>
        <w:tab/>
        <w:t xml:space="preserve">Hejazi S, Moosavi M, Molavinia S, Mansouri E, Azadnasab R, Khodayar MJ. Epicatechin ameliorates glucose intolerance and hepatotoxicity in sodium arsenite-treated mice. Food Chem Toxicol. 2024;192:114950. </w:t>
      </w:r>
    </w:p>
    <w:p w14:paraId="58E60C28"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17.</w:t>
      </w:r>
      <w:r w:rsidRPr="00EF2430">
        <w:rPr>
          <w:rFonts w:asciiTheme="majorBidi" w:hAnsiTheme="majorBidi" w:cstheme="majorBidi"/>
          <w:bCs/>
          <w:color w:val="000000" w:themeColor="text1"/>
          <w:spacing w:val="-6"/>
          <w:sz w:val="24"/>
          <w:szCs w:val="24"/>
        </w:rPr>
        <w:tab/>
        <w:t xml:space="preserve">Boroujeni ZZ, Khorsandi L, Zeidooni L, Badiee MS, Khodayar MJ. Protocatechuic Acid Protects Mice Against Non-Alcoholic Fatty Liver Disease by Attenuating Oxidative Stress and Improving Lipid Profile. Reports Biochem Mol Biol. 2024;13(2):218-230. </w:t>
      </w:r>
    </w:p>
    <w:p w14:paraId="0C6D37BF"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18.</w:t>
      </w:r>
      <w:r w:rsidRPr="00EF2430">
        <w:rPr>
          <w:rFonts w:asciiTheme="majorBidi" w:hAnsiTheme="majorBidi" w:cstheme="majorBidi"/>
          <w:bCs/>
          <w:color w:val="000000" w:themeColor="text1"/>
          <w:spacing w:val="-6"/>
          <w:sz w:val="24"/>
          <w:szCs w:val="24"/>
        </w:rPr>
        <w:tab/>
        <w:t xml:space="preserve">Molavinia S, Goudarzi M, Azemi ME, Basir Z, Khorasgani ZN, Nooshabadi MRR, et al. Protective potential effects of hydroalcoholic extract of Teucrium polium L. (Lamiaceae) against Paraquat-induced lung fibrosis: An experimental study in rats. Avicenna J Phytomedicine. 2023;13(5):551–61. </w:t>
      </w:r>
    </w:p>
    <w:p w14:paraId="55004C5D"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19.</w:t>
      </w:r>
      <w:r w:rsidRPr="00EF2430">
        <w:rPr>
          <w:rFonts w:asciiTheme="majorBidi" w:hAnsiTheme="majorBidi" w:cstheme="majorBidi"/>
          <w:bCs/>
          <w:color w:val="000000" w:themeColor="text1"/>
          <w:spacing w:val="-6"/>
          <w:sz w:val="24"/>
          <w:szCs w:val="24"/>
        </w:rPr>
        <w:tab/>
        <w:t xml:space="preserve">Rhee CK, Lee SH, Yoon HK, Kim SC, Lee SY, Kwon SS, et al. Effect of nilotinib on bleomycin-induced acute lung injury and pulmonary fibrosis in mice. Respiration. 2011;82(3):273–87. </w:t>
      </w:r>
    </w:p>
    <w:p w14:paraId="077E6B8C"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20.</w:t>
      </w:r>
      <w:r w:rsidRPr="00EF2430">
        <w:rPr>
          <w:rFonts w:asciiTheme="majorBidi" w:hAnsiTheme="majorBidi" w:cstheme="majorBidi"/>
          <w:bCs/>
          <w:color w:val="000000" w:themeColor="text1"/>
          <w:spacing w:val="-6"/>
          <w:sz w:val="24"/>
          <w:szCs w:val="24"/>
        </w:rPr>
        <w:tab/>
        <w:t xml:space="preserve">Mirzaee S, Mansouri E, Shirani M, Zeinvand-Lorestani M, Khodayar MJ. Diosmin ameliorative effects on oxidative stress and fibrosis in paraquat-induced lung injury in mice. Environ Sci Pollut Res. 2019;26(36):36468–77. </w:t>
      </w:r>
    </w:p>
    <w:p w14:paraId="17F09295"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21.</w:t>
      </w:r>
      <w:r w:rsidRPr="00EF2430">
        <w:rPr>
          <w:rFonts w:asciiTheme="majorBidi" w:hAnsiTheme="majorBidi" w:cstheme="majorBidi"/>
          <w:bCs/>
          <w:color w:val="000000" w:themeColor="text1"/>
          <w:spacing w:val="-6"/>
          <w:sz w:val="24"/>
          <w:szCs w:val="24"/>
        </w:rPr>
        <w:tab/>
        <w:t xml:space="preserve">Zare R, Anvari K, Mohajertehran F, Farshbaf A, Pakfetrat A, Ansari AH, et al. Association between tissue expression of toll-like receptor and some clinicopathological indices in oral squamous cell carcinoma. Rep Biochem Mol Biol. 2022;11(2):200-208. </w:t>
      </w:r>
    </w:p>
    <w:p w14:paraId="033424DE"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22.</w:t>
      </w:r>
      <w:r w:rsidRPr="00EF2430">
        <w:rPr>
          <w:rFonts w:asciiTheme="majorBidi" w:hAnsiTheme="majorBidi" w:cstheme="majorBidi"/>
          <w:bCs/>
          <w:color w:val="000000" w:themeColor="text1"/>
          <w:spacing w:val="-6"/>
          <w:sz w:val="24"/>
          <w:szCs w:val="24"/>
        </w:rPr>
        <w:tab/>
        <w:t xml:space="preserve">Shen H, Wu N, Liu Z, Zhao H, Zhao M. Epigallocatechin-3-gallate alleviates paraquat-induced acute lung injury and inhibits upregulation of toll-like receptors. Life Sci. 2017;170:25–32. </w:t>
      </w:r>
    </w:p>
    <w:p w14:paraId="0276F7BF"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23.</w:t>
      </w:r>
      <w:r w:rsidRPr="00EF2430">
        <w:rPr>
          <w:rFonts w:asciiTheme="majorBidi" w:hAnsiTheme="majorBidi" w:cstheme="majorBidi"/>
          <w:bCs/>
          <w:color w:val="000000" w:themeColor="text1"/>
          <w:spacing w:val="-6"/>
          <w:sz w:val="24"/>
          <w:szCs w:val="24"/>
        </w:rPr>
        <w:tab/>
        <w:t xml:space="preserve">Yan B, Chen F, Xu L, Xing J, Wang X. HMGB1-TLR4-IL23-IL17A axis promotes paraquat-induced acute lung injury by mediating neutrophil infiltration in mice. Sci Rep. 2017;7(1):597. </w:t>
      </w:r>
    </w:p>
    <w:p w14:paraId="290B1C7A"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24.</w:t>
      </w:r>
      <w:r w:rsidRPr="00EF2430">
        <w:rPr>
          <w:rFonts w:asciiTheme="majorBidi" w:hAnsiTheme="majorBidi" w:cstheme="majorBidi"/>
          <w:bCs/>
          <w:color w:val="000000" w:themeColor="text1"/>
          <w:spacing w:val="-6"/>
          <w:sz w:val="24"/>
          <w:szCs w:val="24"/>
        </w:rPr>
        <w:tab/>
        <w:t xml:space="preserve">Qian J, Liu L, Chen L, Lu X, Zhu C. Increased toll-like receptor 9 expression is associated with the severity of Paraquat-induced lung injury in mice. Hum Exp Toxicol. 2015;34(4):430–8. </w:t>
      </w:r>
    </w:p>
    <w:p w14:paraId="2A5046BD"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25.</w:t>
      </w:r>
      <w:r w:rsidRPr="00EF2430">
        <w:rPr>
          <w:rFonts w:asciiTheme="majorBidi" w:hAnsiTheme="majorBidi" w:cstheme="majorBidi"/>
          <w:bCs/>
          <w:color w:val="000000" w:themeColor="text1"/>
          <w:spacing w:val="-6"/>
          <w:sz w:val="24"/>
          <w:szCs w:val="24"/>
        </w:rPr>
        <w:tab/>
        <w:t xml:space="preserve">Shen H, Wu N, Wang Y, Zhang L, Hu X, Chen Z, et al. Toll-like receptor 9 mediates paraquat-induced acute lung injury: an in vitro and in vivo study. Life Sci. 2017;178:109–18. </w:t>
      </w:r>
    </w:p>
    <w:p w14:paraId="64B68B5D"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26.</w:t>
      </w:r>
      <w:r w:rsidRPr="00EF2430">
        <w:rPr>
          <w:rFonts w:asciiTheme="majorBidi" w:hAnsiTheme="majorBidi" w:cstheme="majorBidi"/>
          <w:bCs/>
          <w:color w:val="000000" w:themeColor="text1"/>
          <w:spacing w:val="-6"/>
          <w:sz w:val="24"/>
          <w:szCs w:val="24"/>
        </w:rPr>
        <w:tab/>
        <w:t xml:space="preserve">Lv R, Du L, Liu X, Zhou F, Zhang Z, Zhang L. Rosmarinic acid attenuates inflammatory responses through inhibiting HMGB1/TLR4/NF-κB signaling pathway in a mouse model of Parkinson’s disease. Life Sci. 2019;223:158–65. </w:t>
      </w:r>
    </w:p>
    <w:p w14:paraId="4A0D4C4C"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27.</w:t>
      </w:r>
      <w:r w:rsidRPr="00EF2430">
        <w:rPr>
          <w:rFonts w:asciiTheme="majorBidi" w:hAnsiTheme="majorBidi" w:cstheme="majorBidi"/>
          <w:bCs/>
          <w:color w:val="000000" w:themeColor="text1"/>
          <w:spacing w:val="-6"/>
          <w:sz w:val="24"/>
          <w:szCs w:val="24"/>
        </w:rPr>
        <w:tab/>
        <w:t xml:space="preserve">Yin Y, Shen H. Melatonin ameliorates acute lung injury caused by Paraquat poisoning by promoting PINK1 and BNIP3 expression. Toxicology. 2023;490:153506. </w:t>
      </w:r>
    </w:p>
    <w:p w14:paraId="7B34CD75"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28.</w:t>
      </w:r>
      <w:r w:rsidRPr="00EF2430">
        <w:rPr>
          <w:rFonts w:asciiTheme="majorBidi" w:hAnsiTheme="majorBidi" w:cstheme="majorBidi"/>
          <w:bCs/>
          <w:color w:val="000000" w:themeColor="text1"/>
          <w:spacing w:val="-6"/>
          <w:sz w:val="24"/>
          <w:szCs w:val="24"/>
        </w:rPr>
        <w:tab/>
        <w:t xml:space="preserve">West AP, Shadel GS. Mitochondrial DNA in innate immune responses and inflammatory pathology. Nat Rev Immunol. 2017;17(6):363–75. </w:t>
      </w:r>
    </w:p>
    <w:p w14:paraId="33BAF724"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29.</w:t>
      </w:r>
      <w:r w:rsidRPr="00EF2430">
        <w:rPr>
          <w:rFonts w:asciiTheme="majorBidi" w:hAnsiTheme="majorBidi" w:cstheme="majorBidi"/>
          <w:bCs/>
          <w:color w:val="000000" w:themeColor="text1"/>
          <w:spacing w:val="-6"/>
          <w:sz w:val="24"/>
          <w:szCs w:val="24"/>
        </w:rPr>
        <w:tab/>
        <w:t xml:space="preserve">Phan THG, Paliogiannis P, Nasrallah GK, Giordo R, Eid AH, Fois AG, et al. Emerging cellular and molecular determinants of idiopathic pulmonary fibrosis. Cell Mol Life Sci. 2021;78(5):2031–57. </w:t>
      </w:r>
    </w:p>
    <w:p w14:paraId="26A800D0"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30.</w:t>
      </w:r>
      <w:r w:rsidRPr="00EF2430">
        <w:rPr>
          <w:rFonts w:asciiTheme="majorBidi" w:hAnsiTheme="majorBidi" w:cstheme="majorBidi"/>
          <w:bCs/>
          <w:color w:val="000000" w:themeColor="text1"/>
          <w:spacing w:val="-6"/>
          <w:sz w:val="24"/>
          <w:szCs w:val="24"/>
        </w:rPr>
        <w:tab/>
        <w:t xml:space="preserve">Amirshahrokhi K, Khalili AR. Carvedilol attenuates Paraquat-induced lung injury by inhibition of proinflammatory cytokines, chemokine MCP-1, NF-κB activation and oxidative stress mediators. Cytokine. 2016;88:144–53. </w:t>
      </w:r>
    </w:p>
    <w:p w14:paraId="1633F226"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31.</w:t>
      </w:r>
      <w:r w:rsidRPr="00EF2430">
        <w:rPr>
          <w:rFonts w:asciiTheme="majorBidi" w:hAnsiTheme="majorBidi" w:cstheme="majorBidi"/>
          <w:bCs/>
          <w:color w:val="000000" w:themeColor="text1"/>
          <w:spacing w:val="-6"/>
          <w:sz w:val="24"/>
          <w:szCs w:val="24"/>
        </w:rPr>
        <w:tab/>
        <w:t xml:space="preserve">Liu Z, Zhao H, Liu W, Li T, Wang Y, Zhao M. NLRP3 Inflammasome Activation Is Essential for Paraquat-Induced Acute Lung Injury. Inflammation. 2015;38(1):433–44. </w:t>
      </w:r>
    </w:p>
    <w:p w14:paraId="61DD5353"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32.</w:t>
      </w:r>
      <w:r w:rsidRPr="00EF2430">
        <w:rPr>
          <w:rFonts w:asciiTheme="majorBidi" w:hAnsiTheme="majorBidi" w:cstheme="majorBidi"/>
          <w:bCs/>
          <w:color w:val="000000" w:themeColor="text1"/>
          <w:spacing w:val="-6"/>
          <w:sz w:val="24"/>
          <w:szCs w:val="24"/>
        </w:rPr>
        <w:tab/>
        <w:t xml:space="preserve">Moshiri M, Mehmannavaz F, Hashemi M, Yazdian-Robati R, Shabazi N, Etemad L. Evaluation of the efficiency of simvastatin loaded PLGA nanoparticles against acute Paraquat-intoxicated rats. Eur J Pharm Sci. 2022;168:106053. </w:t>
      </w:r>
    </w:p>
    <w:p w14:paraId="02D287D9" w14:textId="77777777" w:rsidR="003E6C57" w:rsidRPr="00EF2430" w:rsidRDefault="003E6C57" w:rsidP="003E6C57">
      <w:pPr>
        <w:tabs>
          <w:tab w:val="left" w:pos="426"/>
        </w:tabs>
        <w:spacing w:after="0" w:line="240" w:lineRule="auto"/>
        <w:jc w:val="both"/>
        <w:outlineLvl w:val="0"/>
        <w:rPr>
          <w:rFonts w:asciiTheme="majorBidi" w:hAnsiTheme="majorBidi" w:cstheme="majorBidi"/>
          <w:bCs/>
          <w:color w:val="000000" w:themeColor="text1"/>
          <w:spacing w:val="-6"/>
          <w:sz w:val="24"/>
          <w:szCs w:val="24"/>
        </w:rPr>
      </w:pPr>
      <w:r w:rsidRPr="00EF2430">
        <w:rPr>
          <w:rFonts w:asciiTheme="majorBidi" w:hAnsiTheme="majorBidi" w:cstheme="majorBidi"/>
          <w:bCs/>
          <w:color w:val="000000" w:themeColor="text1"/>
          <w:spacing w:val="-6"/>
          <w:sz w:val="24"/>
          <w:szCs w:val="24"/>
        </w:rPr>
        <w:t>33.</w:t>
      </w:r>
      <w:r w:rsidRPr="00EF2430">
        <w:rPr>
          <w:rFonts w:asciiTheme="majorBidi" w:hAnsiTheme="majorBidi" w:cstheme="majorBidi"/>
          <w:bCs/>
          <w:color w:val="000000" w:themeColor="text1"/>
          <w:spacing w:val="-6"/>
          <w:sz w:val="24"/>
          <w:szCs w:val="24"/>
        </w:rPr>
        <w:tab/>
        <w:t xml:space="preserve">Chu X, Ci X, He J, Jiang L, Wei M, Cao Q, et al. Effects of a natural prolyl oligopeptidase inhibitor, Rosmarinic acid, on lipopolysaccharide-induced acute lung injury in mice. Molecules. 2012;17(3):3586–98. </w:t>
      </w:r>
    </w:p>
    <w:p w14:paraId="21998AE5" w14:textId="61B24A80" w:rsidR="00254C68" w:rsidRPr="00EF2430" w:rsidRDefault="003E6C57" w:rsidP="003E6C57">
      <w:pPr>
        <w:tabs>
          <w:tab w:val="left" w:pos="426"/>
        </w:tabs>
        <w:spacing w:after="0" w:line="240" w:lineRule="auto"/>
        <w:jc w:val="both"/>
        <w:outlineLvl w:val="0"/>
        <w:rPr>
          <w:rFonts w:asciiTheme="majorBidi" w:hAnsiTheme="majorBidi" w:cstheme="majorBidi"/>
          <w:color w:val="000000" w:themeColor="text1"/>
          <w:spacing w:val="-6"/>
          <w:sz w:val="24"/>
          <w:szCs w:val="24"/>
        </w:rPr>
      </w:pPr>
      <w:r w:rsidRPr="00EF2430">
        <w:rPr>
          <w:rFonts w:asciiTheme="majorBidi" w:hAnsiTheme="majorBidi" w:cstheme="majorBidi"/>
          <w:bCs/>
          <w:color w:val="000000" w:themeColor="text1"/>
          <w:spacing w:val="-6"/>
          <w:sz w:val="24"/>
          <w:szCs w:val="24"/>
        </w:rPr>
        <w:fldChar w:fldCharType="end"/>
      </w:r>
    </w:p>
    <w:sectPr w:rsidR="00254C68" w:rsidRPr="00EF2430" w:rsidSect="004A75E8">
      <w:type w:val="continuous"/>
      <w:pgSz w:w="11907" w:h="16840" w:code="9"/>
      <w:pgMar w:top="1588" w:right="1134" w:bottom="1588" w:left="1134" w:header="680" w:footer="68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49C72" w14:textId="77777777" w:rsidR="005A7422" w:rsidRDefault="005A7422">
      <w:pPr>
        <w:spacing w:after="0" w:line="240" w:lineRule="auto"/>
      </w:pPr>
      <w:r>
        <w:separator/>
      </w:r>
    </w:p>
  </w:endnote>
  <w:endnote w:type="continuationSeparator" w:id="0">
    <w:p w14:paraId="6AC94E31" w14:textId="77777777" w:rsidR="005A7422" w:rsidRDefault="005A7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Dutch801BT-Bold">
    <w:altName w:val="Calibri"/>
    <w:charset w:val="00"/>
    <w:family w:val="roman"/>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7475" w14:textId="02B42630" w:rsidR="00C02CB2" w:rsidRPr="00D07ABD" w:rsidRDefault="00C02CB2" w:rsidP="00FD7B4B">
    <w:pPr>
      <w:pStyle w:val="Footer"/>
      <w:framePr w:wrap="around" w:vAnchor="text" w:hAnchor="margin" w:y="1"/>
      <w:rPr>
        <w:rStyle w:val="PageNumber"/>
        <w:rFonts w:ascii="Times New Roman" w:hAnsi="Times New Roman" w:cs="Times New Roman"/>
      </w:rPr>
    </w:pPr>
    <w:r w:rsidRPr="00D07ABD">
      <w:rPr>
        <w:rStyle w:val="PageNumber"/>
        <w:rFonts w:ascii="Times New Roman" w:hAnsi="Times New Roman" w:cs="Times New Roman"/>
      </w:rPr>
      <w:fldChar w:fldCharType="begin"/>
    </w:r>
    <w:r w:rsidRPr="00D07ABD">
      <w:rPr>
        <w:rStyle w:val="PageNumber"/>
        <w:rFonts w:ascii="Times New Roman" w:hAnsi="Times New Roman" w:cs="Times New Roman"/>
      </w:rPr>
      <w:instrText xml:space="preserve">PAGE  </w:instrText>
    </w:r>
    <w:r w:rsidRPr="00D07ABD">
      <w:rPr>
        <w:rStyle w:val="PageNumber"/>
        <w:rFonts w:ascii="Times New Roman" w:hAnsi="Times New Roman" w:cs="Times New Roman"/>
      </w:rPr>
      <w:fldChar w:fldCharType="separate"/>
    </w:r>
    <w:r w:rsidR="00190EFE">
      <w:rPr>
        <w:rStyle w:val="PageNumber"/>
        <w:rFonts w:ascii="Times New Roman" w:hAnsi="Times New Roman" w:cs="Times New Roman"/>
        <w:noProof/>
      </w:rPr>
      <w:t>4</w:t>
    </w:r>
    <w:r w:rsidRPr="00D07ABD">
      <w:rPr>
        <w:rStyle w:val="PageNumber"/>
        <w:rFonts w:ascii="Times New Roman" w:hAnsi="Times New Roman" w:cs="Times New Roman"/>
      </w:rPr>
      <w:fldChar w:fldCharType="end"/>
    </w:r>
  </w:p>
  <w:p w14:paraId="225F7A82" w14:textId="27B0728D" w:rsidR="00C02CB2" w:rsidRPr="00D07ABD" w:rsidRDefault="00C02CB2" w:rsidP="00F36755">
    <w:pPr>
      <w:pStyle w:val="Footer"/>
      <w:rPr>
        <w:rFonts w:ascii="Times New Roman" w:hAnsi="Times New Roman" w:cs="Times New Roman"/>
        <w:rtl/>
      </w:rPr>
    </w:pPr>
    <w:r>
      <w:rPr>
        <w:rFonts w:ascii="Times New Roman" w:hAnsi="Times New Roman" w:cs="Times New Roman"/>
      </w:rPr>
      <w:t xml:space="preserve">    </w:t>
    </w:r>
    <w:r w:rsidRPr="00373F64">
      <w:rPr>
        <w:rFonts w:ascii="Times New Roman" w:hAnsi="Times New Roman" w:cs="Times New Roman"/>
      </w:rPr>
      <w:t xml:space="preserve">Rep. </w:t>
    </w:r>
    <w:proofErr w:type="spellStart"/>
    <w:r w:rsidRPr="00373F64">
      <w:rPr>
        <w:rFonts w:ascii="Times New Roman" w:hAnsi="Times New Roman" w:cs="Times New Roman"/>
      </w:rPr>
      <w:t>Biochem</w:t>
    </w:r>
    <w:proofErr w:type="spellEnd"/>
    <w:r w:rsidRPr="00373F64">
      <w:rPr>
        <w:rFonts w:ascii="Times New Roman" w:hAnsi="Times New Roman" w:cs="Times New Roman"/>
      </w:rPr>
      <w:t>. Mol. Biol, Vol.</w:t>
    </w:r>
    <w:bookmarkStart w:id="0" w:name="_Hlk58622109"/>
    <w:r w:rsidR="00A83E7C">
      <w:rPr>
        <w:rFonts w:ascii="Times New Roman" w:hAnsi="Times New Roman" w:cs="Times New Roman"/>
      </w:rPr>
      <w:t>14</w:t>
    </w:r>
    <w:r w:rsidRPr="00373F64">
      <w:rPr>
        <w:rFonts w:ascii="Times New Roman" w:hAnsi="Times New Roman" w:cs="Times New Roman"/>
      </w:rPr>
      <w:t>, No.</w:t>
    </w:r>
    <w:r w:rsidR="00A83E7C">
      <w:rPr>
        <w:rFonts w:ascii="Times New Roman" w:hAnsi="Times New Roman" w:cs="Times New Roman"/>
      </w:rPr>
      <w:t>1</w:t>
    </w:r>
    <w:r>
      <w:rPr>
        <w:rFonts w:ascii="Times New Roman" w:hAnsi="Times New Roman" w:cs="Times New Roman"/>
      </w:rPr>
      <w:t>,</w:t>
    </w:r>
    <w:r w:rsidRPr="00F5360F">
      <w:rPr>
        <w:rFonts w:ascii="Arial" w:hAnsi="Arial"/>
        <w:sz w:val="18"/>
        <w:szCs w:val="18"/>
      </w:rPr>
      <w:t xml:space="preserve"> </w:t>
    </w:r>
    <w:bookmarkEnd w:id="0"/>
    <w:r w:rsidR="00A83E7C">
      <w:rPr>
        <w:rFonts w:ascii="Times New Roman" w:hAnsi="Times New Roman" w:cs="Times New Roman"/>
      </w:rPr>
      <w:t xml:space="preserve">Apr </w:t>
    </w:r>
    <w:r w:rsidR="00A83E7C" w:rsidRPr="00F36755">
      <w:rPr>
        <w:rFonts w:ascii="Times New Roman" w:hAnsi="Times New Roman" w:cs="Times New Roman"/>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A53E" w14:textId="42340A0E" w:rsidR="00C02CB2" w:rsidRPr="00D07ABD" w:rsidRDefault="00C02CB2" w:rsidP="00FD7B4B">
    <w:pPr>
      <w:pStyle w:val="Footer"/>
      <w:framePr w:wrap="around" w:vAnchor="text" w:hAnchor="margin" w:xAlign="right" w:y="1"/>
      <w:rPr>
        <w:rStyle w:val="PageNumber"/>
        <w:rFonts w:ascii="Times New Roman" w:hAnsi="Times New Roman" w:cs="Times New Roman"/>
      </w:rPr>
    </w:pPr>
    <w:r w:rsidRPr="00D07ABD">
      <w:rPr>
        <w:rStyle w:val="PageNumber"/>
        <w:rFonts w:ascii="Times New Roman" w:hAnsi="Times New Roman" w:cs="Times New Roman"/>
      </w:rPr>
      <w:fldChar w:fldCharType="begin"/>
    </w:r>
    <w:r w:rsidRPr="00D07ABD">
      <w:rPr>
        <w:rStyle w:val="PageNumber"/>
        <w:rFonts w:ascii="Times New Roman" w:hAnsi="Times New Roman" w:cs="Times New Roman"/>
      </w:rPr>
      <w:instrText xml:space="preserve">PAGE  </w:instrText>
    </w:r>
    <w:r w:rsidRPr="00D07ABD">
      <w:rPr>
        <w:rStyle w:val="PageNumber"/>
        <w:rFonts w:ascii="Times New Roman" w:hAnsi="Times New Roman" w:cs="Times New Roman"/>
      </w:rPr>
      <w:fldChar w:fldCharType="separate"/>
    </w:r>
    <w:r w:rsidR="00190EFE">
      <w:rPr>
        <w:rStyle w:val="PageNumber"/>
        <w:rFonts w:ascii="Times New Roman" w:hAnsi="Times New Roman" w:cs="Times New Roman"/>
        <w:noProof/>
      </w:rPr>
      <w:t>3</w:t>
    </w:r>
    <w:r w:rsidRPr="00D07ABD">
      <w:rPr>
        <w:rStyle w:val="PageNumber"/>
        <w:rFonts w:ascii="Times New Roman" w:hAnsi="Times New Roman" w:cs="Times New Roman"/>
      </w:rPr>
      <w:fldChar w:fldCharType="end"/>
    </w:r>
  </w:p>
  <w:p w14:paraId="746E1B47" w14:textId="00936CC8" w:rsidR="00C02CB2" w:rsidRPr="00D07ABD" w:rsidRDefault="00C02CB2" w:rsidP="00F36755">
    <w:pPr>
      <w:pStyle w:val="Footer"/>
      <w:bidi/>
      <w:rPr>
        <w:rFonts w:ascii="Times New Roman" w:hAnsi="Times New Roman" w:cs="Times New Roman"/>
        <w:rtl/>
        <w:lang w:bidi="fa-IR"/>
      </w:rPr>
    </w:pPr>
    <w:r>
      <w:rPr>
        <w:rFonts w:ascii="Times New Roman" w:hAnsi="Times New Roman" w:cs="Times New Roman"/>
      </w:rPr>
      <w:t xml:space="preserve">      </w:t>
    </w:r>
    <w:r>
      <w:rPr>
        <w:rFonts w:ascii="Times New Roman" w:hAnsi="Times New Roman" w:cs="Times New Roman"/>
        <w:rtl/>
      </w:rPr>
      <w:t xml:space="preserve"> </w:t>
    </w:r>
    <w:r w:rsidRPr="00373F64">
      <w:rPr>
        <w:rFonts w:ascii="Times New Roman" w:hAnsi="Times New Roman" w:cs="Times New Roman"/>
      </w:rPr>
      <w:t xml:space="preserve">Rep. </w:t>
    </w:r>
    <w:proofErr w:type="spellStart"/>
    <w:r w:rsidRPr="00373F64">
      <w:rPr>
        <w:rFonts w:ascii="Times New Roman" w:hAnsi="Times New Roman" w:cs="Times New Roman"/>
      </w:rPr>
      <w:t>Biochem</w:t>
    </w:r>
    <w:proofErr w:type="spellEnd"/>
    <w:r w:rsidRPr="00373F64">
      <w:rPr>
        <w:rFonts w:ascii="Times New Roman" w:hAnsi="Times New Roman" w:cs="Times New Roman"/>
      </w:rPr>
      <w:t>. Mol. Biol, Vol.</w:t>
    </w:r>
    <w:r w:rsidR="00A83E7C">
      <w:rPr>
        <w:rFonts w:ascii="Times New Roman" w:hAnsi="Times New Roman" w:cs="Times New Roman"/>
      </w:rPr>
      <w:t>14</w:t>
    </w:r>
    <w:r w:rsidRPr="00F5360F">
      <w:rPr>
        <w:rFonts w:ascii="Times New Roman" w:hAnsi="Times New Roman" w:cs="Times New Roman"/>
      </w:rPr>
      <w:t>, No.</w:t>
    </w:r>
    <w:r>
      <w:rPr>
        <w:rFonts w:ascii="Times New Roman" w:hAnsi="Times New Roman" w:cs="Times New Roman"/>
      </w:rPr>
      <w:t xml:space="preserve"> </w:t>
    </w:r>
    <w:r w:rsidR="00A83E7C">
      <w:rPr>
        <w:rFonts w:ascii="Times New Roman" w:hAnsi="Times New Roman" w:cs="Times New Roman"/>
      </w:rPr>
      <w:t>1</w:t>
    </w:r>
    <w:r w:rsidRPr="00F5360F">
      <w:rPr>
        <w:rFonts w:ascii="Times New Roman" w:hAnsi="Times New Roman" w:cs="Times New Roman"/>
      </w:rPr>
      <w:t xml:space="preserve">, </w:t>
    </w:r>
    <w:r w:rsidR="00705632">
      <w:rPr>
        <w:rFonts w:ascii="Times New Roman" w:hAnsi="Times New Roman" w:cs="Times New Roman"/>
      </w:rPr>
      <w:t>Apr 2025</w:t>
    </w:r>
    <w:r>
      <w:rPr>
        <w:rFonts w:ascii="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435F8" w14:textId="176CD41A" w:rsidR="00C02CB2" w:rsidRPr="00822A70" w:rsidRDefault="005A7422" w:rsidP="00E9012E">
    <w:pPr>
      <w:spacing w:after="0" w:line="240" w:lineRule="auto"/>
      <w:jc w:val="both"/>
      <w:rPr>
        <w:b/>
        <w:bCs/>
        <w:i/>
        <w:iCs/>
        <w:spacing w:val="-10"/>
      </w:rPr>
    </w:pPr>
    <w:bookmarkStart w:id="1" w:name="_Hlk304111256"/>
    <w:r>
      <w:rPr>
        <w:b/>
        <w:bCs/>
        <w:i/>
        <w:iCs/>
        <w:noProof/>
        <w:spacing w:val="-10"/>
      </w:rPr>
      <w:pict w14:anchorId="47CC50E8">
        <v:rect id="_x0000_i1027" alt="" style="width:481.95pt;height:3pt;mso-width-percent:0;mso-height-percent:0;mso-width-percent:0;mso-height-percent:0" o:hralign="center" o:hrstd="t" o:hrnoshade="t" o:hr="t" fillcolor="#0f243e" stroked="f"/>
      </w:pict>
    </w:r>
  </w:p>
  <w:bookmarkEnd w:id="1"/>
  <w:p w14:paraId="7B3CAC09" w14:textId="77777777" w:rsidR="007C1982" w:rsidRPr="003E6C57" w:rsidRDefault="007C1982" w:rsidP="007C1982">
    <w:pPr>
      <w:spacing w:after="0" w:line="240" w:lineRule="auto"/>
      <w:jc w:val="both"/>
      <w:rPr>
        <w:rFonts w:ascii="Times New Roman" w:hAnsi="Times New Roman" w:cs="Times New Roman"/>
        <w:b/>
        <w:bCs/>
        <w:i/>
        <w:iCs/>
        <w:color w:val="000000"/>
        <w:spacing w:val="-4"/>
        <w:rtl/>
      </w:rPr>
    </w:pPr>
    <w:r w:rsidRPr="003E6C57">
      <w:rPr>
        <w:rFonts w:ascii="Times New Roman" w:hAnsi="Times New Roman" w:cs="Times New Roman"/>
        <w:b/>
        <w:bCs/>
        <w:i/>
        <w:iCs/>
        <w:color w:val="000000"/>
        <w:spacing w:val="-4"/>
        <w:lang w:val="en-GB"/>
      </w:rPr>
      <w:t xml:space="preserve">1: Toxicology Research </w:t>
    </w:r>
    <w:proofErr w:type="spellStart"/>
    <w:r w:rsidRPr="003E6C57">
      <w:rPr>
        <w:rFonts w:ascii="Times New Roman" w:hAnsi="Times New Roman" w:cs="Times New Roman"/>
        <w:b/>
        <w:bCs/>
        <w:i/>
        <w:iCs/>
        <w:color w:val="000000"/>
        <w:spacing w:val="-4"/>
        <w:lang w:val="en-GB"/>
      </w:rPr>
      <w:t>Center</w:t>
    </w:r>
    <w:proofErr w:type="spellEnd"/>
    <w:r w:rsidRPr="003E6C57">
      <w:rPr>
        <w:rFonts w:ascii="Times New Roman" w:hAnsi="Times New Roman" w:cs="Times New Roman"/>
        <w:b/>
        <w:bCs/>
        <w:i/>
        <w:iCs/>
        <w:color w:val="000000"/>
        <w:spacing w:val="-4"/>
        <w:lang w:val="en-GB"/>
      </w:rPr>
      <w:t xml:space="preserve">, Medical Basic Sciences Research Institute, Ahvaz </w:t>
    </w:r>
    <w:proofErr w:type="spellStart"/>
    <w:r w:rsidRPr="003E6C57">
      <w:rPr>
        <w:rFonts w:ascii="Times New Roman" w:hAnsi="Times New Roman" w:cs="Times New Roman"/>
        <w:b/>
        <w:bCs/>
        <w:i/>
        <w:iCs/>
        <w:color w:val="000000"/>
        <w:spacing w:val="-4"/>
        <w:lang w:val="en-GB"/>
      </w:rPr>
      <w:t>Jundishapur</w:t>
    </w:r>
    <w:proofErr w:type="spellEnd"/>
    <w:r w:rsidRPr="003E6C57">
      <w:rPr>
        <w:rFonts w:ascii="Times New Roman" w:hAnsi="Times New Roman" w:cs="Times New Roman"/>
        <w:b/>
        <w:bCs/>
        <w:i/>
        <w:iCs/>
        <w:color w:val="000000"/>
        <w:spacing w:val="-4"/>
        <w:lang w:val="en-GB"/>
      </w:rPr>
      <w:t xml:space="preserve"> University of Medical Sciences, Ahvaz, Iran.</w:t>
    </w:r>
  </w:p>
  <w:p w14:paraId="61A0CC2E" w14:textId="77777777" w:rsidR="007C1982" w:rsidRPr="003E6C57" w:rsidRDefault="007C1982" w:rsidP="007C1982">
    <w:pPr>
      <w:spacing w:after="0" w:line="240" w:lineRule="auto"/>
      <w:jc w:val="both"/>
      <w:rPr>
        <w:rFonts w:ascii="Times New Roman" w:hAnsi="Times New Roman" w:cs="Times New Roman"/>
        <w:b/>
        <w:bCs/>
        <w:i/>
        <w:iCs/>
        <w:color w:val="000000"/>
        <w:spacing w:val="-4"/>
        <w:rtl/>
      </w:rPr>
    </w:pPr>
    <w:r w:rsidRPr="003E6C57">
      <w:rPr>
        <w:rFonts w:ascii="Times New Roman" w:hAnsi="Times New Roman" w:cs="Times New Roman"/>
        <w:b/>
        <w:bCs/>
        <w:i/>
        <w:iCs/>
        <w:color w:val="000000"/>
        <w:spacing w:val="-4"/>
        <w:lang w:val="en-GB"/>
      </w:rPr>
      <w:t xml:space="preserve">2: Department of Pharmacognosy, School of Pharmacy, Ahvaz </w:t>
    </w:r>
    <w:proofErr w:type="spellStart"/>
    <w:r w:rsidRPr="003E6C57">
      <w:rPr>
        <w:rFonts w:ascii="Times New Roman" w:hAnsi="Times New Roman" w:cs="Times New Roman"/>
        <w:b/>
        <w:bCs/>
        <w:i/>
        <w:iCs/>
        <w:color w:val="000000"/>
        <w:spacing w:val="-4"/>
        <w:lang w:val="en-GB"/>
      </w:rPr>
      <w:t>Jundishapur</w:t>
    </w:r>
    <w:proofErr w:type="spellEnd"/>
    <w:r w:rsidRPr="003E6C57">
      <w:rPr>
        <w:rFonts w:ascii="Times New Roman" w:hAnsi="Times New Roman" w:cs="Times New Roman"/>
        <w:b/>
        <w:bCs/>
        <w:i/>
        <w:iCs/>
        <w:color w:val="000000"/>
        <w:spacing w:val="-4"/>
        <w:lang w:val="en-GB"/>
      </w:rPr>
      <w:t xml:space="preserve"> University of Medical Sciences, Ahvaz, Iran.</w:t>
    </w:r>
  </w:p>
  <w:p w14:paraId="70C5E4BD" w14:textId="77777777" w:rsidR="007C1982" w:rsidRPr="003E6C57" w:rsidRDefault="007C1982" w:rsidP="007C1982">
    <w:pPr>
      <w:spacing w:after="0" w:line="240" w:lineRule="auto"/>
      <w:jc w:val="both"/>
      <w:rPr>
        <w:rFonts w:ascii="Times New Roman" w:hAnsi="Times New Roman" w:cs="Times New Roman"/>
        <w:b/>
        <w:bCs/>
        <w:i/>
        <w:iCs/>
        <w:color w:val="000000"/>
        <w:spacing w:val="-4"/>
        <w:lang w:val="en-GB"/>
      </w:rPr>
    </w:pPr>
    <w:r w:rsidRPr="003E6C57">
      <w:rPr>
        <w:rFonts w:ascii="Times New Roman" w:hAnsi="Times New Roman" w:cs="Times New Roman"/>
        <w:b/>
        <w:bCs/>
        <w:i/>
        <w:iCs/>
        <w:color w:val="000000"/>
        <w:spacing w:val="-4"/>
        <w:lang w:val="en-GB"/>
      </w:rPr>
      <w:t xml:space="preserve">3: Department of Toxicology, School of Pharmacy, Ahvaz </w:t>
    </w:r>
    <w:proofErr w:type="spellStart"/>
    <w:r w:rsidRPr="003E6C57">
      <w:rPr>
        <w:rFonts w:ascii="Times New Roman" w:hAnsi="Times New Roman" w:cs="Times New Roman"/>
        <w:b/>
        <w:bCs/>
        <w:i/>
        <w:iCs/>
        <w:color w:val="000000"/>
        <w:spacing w:val="-4"/>
        <w:lang w:val="en-GB"/>
      </w:rPr>
      <w:t>Jundishapur</w:t>
    </w:r>
    <w:proofErr w:type="spellEnd"/>
    <w:r w:rsidRPr="003E6C57">
      <w:rPr>
        <w:rFonts w:ascii="Times New Roman" w:hAnsi="Times New Roman" w:cs="Times New Roman"/>
        <w:b/>
        <w:bCs/>
        <w:i/>
        <w:iCs/>
        <w:color w:val="000000"/>
        <w:spacing w:val="-4"/>
        <w:lang w:val="en-GB"/>
      </w:rPr>
      <w:t xml:space="preserve"> University of Medical Sciences, Ahvaz, Iran.</w:t>
    </w:r>
  </w:p>
  <w:p w14:paraId="72E5134E" w14:textId="77777777" w:rsidR="007C1982" w:rsidRPr="003E6C57" w:rsidRDefault="007C1982" w:rsidP="007C1982">
    <w:pPr>
      <w:spacing w:after="0" w:line="240" w:lineRule="auto"/>
      <w:jc w:val="both"/>
      <w:rPr>
        <w:rFonts w:ascii="Times New Roman" w:hAnsi="Times New Roman" w:cs="Times New Roman"/>
        <w:b/>
        <w:bCs/>
        <w:i/>
        <w:iCs/>
        <w:color w:val="000000"/>
        <w:spacing w:val="-4"/>
        <w:lang w:val="en-GB"/>
      </w:rPr>
    </w:pPr>
    <w:r w:rsidRPr="003E6C57">
      <w:rPr>
        <w:rFonts w:ascii="Times New Roman" w:hAnsi="Times New Roman" w:cs="Times New Roman"/>
        <w:b/>
        <w:bCs/>
        <w:i/>
        <w:iCs/>
        <w:color w:val="000000"/>
        <w:spacing w:val="-4"/>
        <w:lang w:val="en-GB"/>
      </w:rPr>
      <w:t xml:space="preserve">4: Cellular and Molecular Research </w:t>
    </w:r>
    <w:proofErr w:type="spellStart"/>
    <w:r w:rsidRPr="003E6C57">
      <w:rPr>
        <w:rFonts w:ascii="Times New Roman" w:hAnsi="Times New Roman" w:cs="Times New Roman"/>
        <w:b/>
        <w:bCs/>
        <w:i/>
        <w:iCs/>
        <w:color w:val="000000"/>
        <w:spacing w:val="-4"/>
        <w:lang w:val="en-GB"/>
      </w:rPr>
      <w:t>Center</w:t>
    </w:r>
    <w:proofErr w:type="spellEnd"/>
    <w:r w:rsidRPr="003E6C57">
      <w:rPr>
        <w:rFonts w:ascii="Times New Roman" w:hAnsi="Times New Roman" w:cs="Times New Roman"/>
        <w:b/>
        <w:bCs/>
        <w:i/>
        <w:iCs/>
        <w:color w:val="000000"/>
        <w:spacing w:val="-4"/>
        <w:lang w:val="en-GB"/>
      </w:rPr>
      <w:t xml:space="preserve">, Medical Basic Sciences Research Institute, Ahvaz </w:t>
    </w:r>
    <w:proofErr w:type="spellStart"/>
    <w:r w:rsidRPr="003E6C57">
      <w:rPr>
        <w:rFonts w:ascii="Times New Roman" w:hAnsi="Times New Roman" w:cs="Times New Roman"/>
        <w:b/>
        <w:bCs/>
        <w:i/>
        <w:iCs/>
        <w:color w:val="000000"/>
        <w:spacing w:val="-4"/>
        <w:lang w:val="en-GB"/>
      </w:rPr>
      <w:t>Jundishapur</w:t>
    </w:r>
    <w:proofErr w:type="spellEnd"/>
    <w:r w:rsidRPr="003E6C57">
      <w:rPr>
        <w:rFonts w:ascii="Times New Roman" w:hAnsi="Times New Roman" w:cs="Times New Roman"/>
        <w:b/>
        <w:bCs/>
        <w:i/>
        <w:iCs/>
        <w:color w:val="000000"/>
        <w:spacing w:val="-4"/>
        <w:lang w:val="en-GB"/>
      </w:rPr>
      <w:t xml:space="preserve"> University of Medical Sciences, Ahvaz, Iran.</w:t>
    </w:r>
  </w:p>
  <w:p w14:paraId="59227FDC" w14:textId="48B661D7" w:rsidR="007C1982" w:rsidRPr="00895470" w:rsidRDefault="007C1982" w:rsidP="007C1982">
    <w:pPr>
      <w:spacing w:after="0" w:line="240" w:lineRule="auto"/>
      <w:jc w:val="both"/>
      <w:rPr>
        <w:rFonts w:ascii="Times New Roman" w:hAnsi="Times New Roman" w:cs="Times New Roman"/>
        <w:b/>
        <w:bCs/>
        <w:color w:val="000000" w:themeColor="text1"/>
        <w:spacing w:val="-8"/>
      </w:rPr>
    </w:pPr>
    <w:r w:rsidRPr="007B580C">
      <w:rPr>
        <w:rFonts w:ascii="Times New Roman" w:hAnsi="Times New Roman" w:cs="Times New Roman"/>
        <w:b/>
        <w:bCs/>
        <w:color w:val="000000"/>
        <w:spacing w:val="-8"/>
      </w:rPr>
      <w:t xml:space="preserve">*Corresponding author: </w:t>
    </w:r>
    <w:r w:rsidRPr="003E6C57">
      <w:rPr>
        <w:rFonts w:ascii="Times New Roman" w:hAnsi="Times New Roman" w:cs="Times New Roman"/>
        <w:b/>
        <w:bCs/>
        <w:iCs/>
        <w:color w:val="000000"/>
        <w:spacing w:val="-8"/>
        <w:lang w:val="en-GB"/>
      </w:rPr>
      <w:t>Maryam Salehcheh</w:t>
    </w:r>
    <w:r w:rsidRPr="007B580C">
      <w:rPr>
        <w:rFonts w:ascii="Times New Roman" w:hAnsi="Times New Roman" w:cs="Times New Roman"/>
        <w:b/>
        <w:bCs/>
        <w:color w:val="000000"/>
        <w:spacing w:val="-8"/>
      </w:rPr>
      <w:t>; Tel: +</w:t>
    </w:r>
    <w:r w:rsidRPr="003E6C57">
      <w:rPr>
        <w:rFonts w:ascii="Times New Roman" w:hAnsi="Times New Roman" w:cs="Times New Roman"/>
        <w:b/>
        <w:bCs/>
        <w:color w:val="000000"/>
        <w:spacing w:val="-8"/>
        <w:lang w:val="en-GB"/>
      </w:rPr>
      <w:t>98 916</w:t>
    </w:r>
    <w:r w:rsidRPr="00DF5453">
      <w:rPr>
        <w:rFonts w:ascii="Times New Roman" w:hAnsi="Times New Roman" w:cs="Times New Roman"/>
        <w:b/>
        <w:bCs/>
        <w:color w:val="000000"/>
        <w:spacing w:val="-8"/>
        <w:lang w:val="en-GB"/>
      </w:rPr>
      <w:t>6075337</w:t>
    </w:r>
    <w:r w:rsidRPr="00DF5453">
      <w:rPr>
        <w:rFonts w:ascii="Times New Roman" w:hAnsi="Times New Roman" w:cs="Times New Roman"/>
        <w:b/>
        <w:bCs/>
        <w:color w:val="000000"/>
        <w:spacing w:val="-8"/>
      </w:rPr>
      <w:t xml:space="preserve">; </w:t>
    </w:r>
    <w:r w:rsidRPr="00DF5453">
      <w:rPr>
        <w:rFonts w:ascii="Times New Roman" w:hAnsi="Times New Roman" w:cs="Times New Roman"/>
        <w:b/>
        <w:bCs/>
        <w:iCs/>
        <w:color w:val="000000"/>
        <w:spacing w:val="-8"/>
      </w:rPr>
      <w:t>E-</w:t>
    </w:r>
    <w:r w:rsidRPr="00DF5453">
      <w:rPr>
        <w:rFonts w:ascii="Times New Roman" w:hAnsi="Times New Roman" w:cs="Times New Roman"/>
        <w:b/>
        <w:bCs/>
        <w:color w:val="000000" w:themeColor="text1"/>
        <w:spacing w:val="-8"/>
      </w:rPr>
      <w:t>mail</w:t>
    </w:r>
    <w:r w:rsidRPr="00895470">
      <w:rPr>
        <w:rFonts w:ascii="Times New Roman" w:hAnsi="Times New Roman" w:cs="Times New Roman"/>
        <w:b/>
        <w:bCs/>
        <w:color w:val="000000" w:themeColor="text1"/>
        <w:spacing w:val="-8"/>
      </w:rPr>
      <w:t xml:space="preserve">: </w:t>
    </w:r>
    <w:hyperlink r:id="rId1" w:history="1">
      <w:r w:rsidRPr="00895470">
        <w:rPr>
          <w:rStyle w:val="Hyperlink"/>
          <w:rFonts w:ascii="Times New Roman" w:hAnsi="Times New Roman" w:cs="Times New Roman"/>
          <w:b/>
          <w:bCs/>
          <w:color w:val="000000" w:themeColor="text1"/>
          <w:spacing w:val="-8"/>
          <w:u w:val="none"/>
        </w:rPr>
        <w:t>salehcheh-m@ajums.ac.ir</w:t>
      </w:r>
    </w:hyperlink>
    <w:r w:rsidRPr="00895470">
      <w:rPr>
        <w:rFonts w:ascii="Times New Roman" w:hAnsi="Times New Roman" w:cs="Times New Roman"/>
        <w:b/>
        <w:bCs/>
        <w:color w:val="000000" w:themeColor="text1"/>
        <w:spacing w:val="-8"/>
      </w:rPr>
      <w:t>.</w:t>
    </w:r>
  </w:p>
  <w:p w14:paraId="592A7CB3" w14:textId="267673D4" w:rsidR="00C02CB2" w:rsidRPr="000473C0" w:rsidRDefault="007C1982" w:rsidP="007C1982">
    <w:pPr>
      <w:spacing w:after="0" w:line="240" w:lineRule="auto"/>
      <w:jc w:val="both"/>
      <w:rPr>
        <w:rFonts w:ascii="Times New Roman" w:eastAsia="Times New Roman" w:hAnsi="Times New Roman" w:cs="Times New Roman"/>
        <w:color w:val="000000"/>
      </w:rPr>
    </w:pPr>
    <w:r w:rsidRPr="00CF53D1">
      <w:rPr>
        <w:rFonts w:ascii="Times New Roman" w:hAnsi="Times New Roman" w:cs="Times New Roman"/>
      </w:rPr>
      <w:t xml:space="preserve">Received: </w:t>
    </w:r>
    <w:r>
      <w:rPr>
        <w:rFonts w:ascii="Times New Roman" w:hAnsi="Times New Roman" w:cs="Times New Roman"/>
      </w:rPr>
      <w:t>14</w:t>
    </w:r>
    <w:r w:rsidRPr="00CF53D1">
      <w:rPr>
        <w:rFonts w:ascii="Times New Roman" w:hAnsi="Times New Roman" w:cs="Times New Roman"/>
      </w:rPr>
      <w:t xml:space="preserve"> </w:t>
    </w:r>
    <w:r>
      <w:rPr>
        <w:rFonts w:ascii="Times New Roman" w:hAnsi="Times New Roman" w:cs="Times New Roman"/>
      </w:rPr>
      <w:t>Feb</w:t>
    </w:r>
    <w:r w:rsidRPr="00CF53D1">
      <w:rPr>
        <w:rFonts w:ascii="Times New Roman" w:hAnsi="Times New Roman" w:cs="Times New Roman"/>
      </w:rPr>
      <w:t xml:space="preserve">, </w:t>
    </w:r>
    <w:r>
      <w:rPr>
        <w:rFonts w:ascii="Times New Roman" w:hAnsi="Times New Roman" w:cs="Times New Roman"/>
      </w:rPr>
      <w:t>2025</w:t>
    </w:r>
    <w:r w:rsidRPr="00CF53D1">
      <w:rPr>
        <w:rFonts w:ascii="Times New Roman" w:hAnsi="Times New Roman" w:cs="Times New Roman"/>
      </w:rPr>
      <w:t xml:space="preserve">; Accepted: </w:t>
    </w:r>
    <w:r>
      <w:rPr>
        <w:rFonts w:ascii="Times New Roman" w:hAnsi="Times New Roman" w:cs="Times New Roman"/>
      </w:rPr>
      <w:t>7</w:t>
    </w:r>
    <w:r w:rsidRPr="00CF53D1">
      <w:rPr>
        <w:rFonts w:ascii="Times New Roman" w:hAnsi="Times New Roman" w:cs="Times New Roman"/>
      </w:rPr>
      <w:t xml:space="preserve"> </w:t>
    </w:r>
    <w:proofErr w:type="spellStart"/>
    <w:r>
      <w:rPr>
        <w:rFonts w:ascii="Times New Roman" w:hAnsi="Times New Roman" w:cs="Times New Roman"/>
      </w:rPr>
      <w:t>JuL</w:t>
    </w:r>
    <w:proofErr w:type="spellEnd"/>
    <w:r w:rsidRPr="00CF53D1">
      <w:rPr>
        <w:rFonts w:ascii="Times New Roman" w:hAnsi="Times New Roman" w:cs="Times New Roman"/>
      </w:rPr>
      <w:t xml:space="preserve">, </w:t>
    </w:r>
    <w:r>
      <w:rPr>
        <w:rFonts w:ascii="Times New Roman" w:hAnsi="Times New Roman" w:cs="Times New Roman"/>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52BBB" w14:textId="77777777" w:rsidR="005A7422" w:rsidRDefault="005A7422">
      <w:pPr>
        <w:spacing w:after="0" w:line="240" w:lineRule="auto"/>
      </w:pPr>
      <w:r>
        <w:separator/>
      </w:r>
    </w:p>
  </w:footnote>
  <w:footnote w:type="continuationSeparator" w:id="0">
    <w:p w14:paraId="5247A2C9" w14:textId="77777777" w:rsidR="005A7422" w:rsidRDefault="005A7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F2C54" w14:textId="676FA3B1" w:rsidR="00C02CB2" w:rsidRPr="00884C5C" w:rsidRDefault="00791015" w:rsidP="00791015">
    <w:pPr>
      <w:pStyle w:val="Header"/>
      <w:jc w:val="center"/>
      <w:rPr>
        <w:rFonts w:ascii="Times New Roman" w:hAnsi="Times New Roman" w:cs="Times New Roman"/>
        <w:b/>
        <w:bCs/>
        <w:lang w:bidi="fa-IR"/>
      </w:rPr>
    </w:pPr>
    <w:proofErr w:type="spellStart"/>
    <w:r w:rsidRPr="003E6C57">
      <w:rPr>
        <w:rFonts w:ascii="Times New Roman" w:hAnsi="Times New Roman" w:cs="Times New Roman"/>
        <w:b/>
        <w:bCs/>
        <w:iCs/>
        <w:lang w:val="en-GB"/>
      </w:rPr>
      <w:t>Naghitorabi</w:t>
    </w:r>
    <w:proofErr w:type="spellEnd"/>
    <w:r w:rsidRPr="00791015">
      <w:rPr>
        <w:rFonts w:ascii="Times New Roman" w:hAnsi="Times New Roman" w:cs="Times New Roman"/>
        <w:b/>
        <w:bCs/>
        <w:iCs/>
      </w:rPr>
      <w:t xml:space="preserve"> </w:t>
    </w:r>
    <w:r>
      <w:rPr>
        <w:rFonts w:ascii="Times New Roman" w:hAnsi="Times New Roman" w:cs="Times New Roman"/>
        <w:b/>
        <w:bCs/>
        <w:iCs/>
      </w:rPr>
      <w:t>M</w:t>
    </w:r>
    <w:r w:rsidR="00C02CB2">
      <w:rPr>
        <w:rFonts w:ascii="Times New Roman" w:hAnsi="Times New Roman" w:cs="Times New Roman"/>
        <w:b/>
        <w:bCs/>
      </w:rPr>
      <w:t xml:space="preserve"> </w:t>
    </w:r>
    <w:r w:rsidR="00C02CB2" w:rsidRPr="00884C5C">
      <w:rPr>
        <w:rFonts w:ascii="Times New Roman" w:hAnsi="Times New Roman" w:cs="Times New Roman"/>
        <w:b/>
        <w:bCs/>
        <w:i/>
        <w:iCs/>
        <w:lang w:bidi="fa-IR"/>
      </w:rPr>
      <w:t>et al</w:t>
    </w:r>
    <w:r w:rsidR="00C02CB2">
      <w:rPr>
        <w:rFonts w:ascii="Times New Roman" w:hAnsi="Times New Roman" w:cs="Times New Roman"/>
        <w:b/>
        <w:bCs/>
        <w:i/>
        <w:iCs/>
        <w:lang w:bidi="fa-I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07C2" w14:textId="2C110F82" w:rsidR="00C02CB2" w:rsidRPr="003E6C57" w:rsidRDefault="003E6C57" w:rsidP="003E6C57">
    <w:pPr>
      <w:pStyle w:val="Header"/>
      <w:jc w:val="center"/>
    </w:pPr>
    <w:proofErr w:type="spellStart"/>
    <w:r w:rsidRPr="003E6C57">
      <w:rPr>
        <w:rFonts w:ascii="Times New Roman" w:hAnsi="Times New Roman" w:cs="Times New Roman"/>
        <w:b/>
        <w:bCs/>
        <w:color w:val="000000"/>
      </w:rPr>
      <w:t>Rosmarinic</w:t>
    </w:r>
    <w:proofErr w:type="spellEnd"/>
    <w:r w:rsidRPr="003E6C57">
      <w:rPr>
        <w:rFonts w:ascii="Times New Roman" w:hAnsi="Times New Roman" w:cs="Times New Roman"/>
        <w:b/>
        <w:bCs/>
        <w:color w:val="000000"/>
      </w:rPr>
      <w:t xml:space="preserve"> </w:t>
    </w:r>
    <w:r w:rsidR="00895470" w:rsidRPr="003E6C57">
      <w:rPr>
        <w:rFonts w:ascii="Times New Roman" w:hAnsi="Times New Roman" w:cs="Times New Roman"/>
        <w:b/>
        <w:bCs/>
        <w:color w:val="000000"/>
      </w:rPr>
      <w:t xml:space="preserve">Acid Reduces </w:t>
    </w:r>
    <w:r w:rsidRPr="003E6C57">
      <w:rPr>
        <w:rFonts w:ascii="Times New Roman" w:hAnsi="Times New Roman" w:cs="Times New Roman"/>
        <w:b/>
        <w:bCs/>
        <w:color w:val="000000"/>
      </w:rPr>
      <w:t xml:space="preserve">Paraquat </w:t>
    </w:r>
    <w:r w:rsidR="00895470" w:rsidRPr="003E6C57">
      <w:rPr>
        <w:rFonts w:ascii="Times New Roman" w:hAnsi="Times New Roman" w:cs="Times New Roman"/>
        <w:b/>
        <w:bCs/>
        <w:color w:val="000000"/>
      </w:rPr>
      <w:t>Lung Injury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6A954" w14:textId="07325DD6" w:rsidR="00C02CB2" w:rsidRPr="00A76B4B" w:rsidRDefault="00C02CB2" w:rsidP="00FD7B4B">
    <w:pPr>
      <w:pStyle w:val="Footer"/>
      <w:tabs>
        <w:tab w:val="clear" w:pos="9360"/>
        <w:tab w:val="right" w:pos="8647"/>
        <w:tab w:val="left" w:pos="9356"/>
      </w:tabs>
      <w:rPr>
        <w:rFonts w:ascii="Arial" w:hAnsi="Arial"/>
        <w:sz w:val="18"/>
        <w:szCs w:val="18"/>
        <w:rtl/>
      </w:rPr>
    </w:pPr>
    <w:r>
      <w:rPr>
        <w:noProof/>
        <w:lang w:val="en-GB" w:eastAsia="en-GB"/>
      </w:rPr>
      <mc:AlternateContent>
        <mc:Choice Requires="wps">
          <w:drawing>
            <wp:anchor distT="0" distB="0" distL="114300" distR="114300" simplePos="0" relativeHeight="251658240" behindDoc="0" locked="0" layoutInCell="1" allowOverlap="1" wp14:anchorId="764DD7F7" wp14:editId="270BB52E">
              <wp:simplePos x="0" y="0"/>
              <wp:positionH relativeFrom="column">
                <wp:posOffset>5293995</wp:posOffset>
              </wp:positionH>
              <wp:positionV relativeFrom="paragraph">
                <wp:posOffset>-262890</wp:posOffset>
              </wp:positionV>
              <wp:extent cx="826770" cy="659130"/>
              <wp:effectExtent l="0" t="0" r="0" b="762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659130"/>
                      </a:xfrm>
                      <a:prstGeom prst="roundRect">
                        <a:avLst>
                          <a:gd name="adj" fmla="val 16667"/>
                        </a:avLst>
                      </a:prstGeom>
                      <a:solidFill>
                        <a:srgbClr val="FFFFFF"/>
                      </a:solidFill>
                      <a:ln w="9525">
                        <a:solidFill>
                          <a:srgbClr val="FFFFFF"/>
                        </a:solidFill>
                        <a:round/>
                        <a:headEnd/>
                        <a:tailEnd/>
                      </a:ln>
                    </wps:spPr>
                    <wps:txbx>
                      <w:txbxContent>
                        <w:p w14:paraId="5583E7AC" w14:textId="57DBFAA4" w:rsidR="00C02CB2" w:rsidRDefault="00C02CB2" w:rsidP="00FD7B4B">
                          <w:r w:rsidRPr="00172A32">
                            <w:rPr>
                              <w:rFonts w:ascii="Arial" w:hAnsi="Arial"/>
                              <w:noProof/>
                              <w:lang w:val="en-GB" w:eastAsia="en-GB"/>
                            </w:rPr>
                            <w:drawing>
                              <wp:inline distT="0" distB="0" distL="0" distR="0" wp14:anchorId="340C3AD9" wp14:editId="1B4597C4">
                                <wp:extent cx="523875" cy="523875"/>
                                <wp:effectExtent l="0" t="0" r="0" b="0"/>
                                <wp:docPr id="3" name="Picture 1" descr="Description: header-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der-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DD7F7" id="AutoShape 4" o:spid="_x0000_s1026" style="position:absolute;margin-left:416.85pt;margin-top:-20.7pt;width:65.1pt;height:5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" strokecolor="white">
              <v:textbox>
                <w:txbxContent>
                  <w:p w14:paraId="5583E7AC" w14:textId="57DBFAA4" w:rsidR="00C02CB2" w:rsidRDefault="00C02CB2" w:rsidP="00FD7B4B">
                    <w:r w:rsidRPr="00172A32">
                      <w:rPr>
                        <w:rFonts w:ascii="Arial" w:hAnsi="Arial"/>
                        <w:noProof/>
                        <w:lang w:val="en-GB" w:eastAsia="en-GB"/>
                      </w:rPr>
                      <w:drawing>
                        <wp:inline distT="0" distB="0" distL="0" distR="0" wp14:anchorId="340C3AD9" wp14:editId="1B4597C4">
                          <wp:extent cx="523875" cy="523875"/>
                          <wp:effectExtent l="0" t="0" r="0" b="0"/>
                          <wp:docPr id="3" name="Picture 1" descr="Description: header-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der-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v:roundrect>
          </w:pict>
        </mc:Fallback>
      </mc:AlternateContent>
    </w:r>
    <w:r>
      <w:rPr>
        <w:rFonts w:ascii="Arial" w:hAnsi="Arial"/>
        <w:sz w:val="18"/>
        <w:szCs w:val="18"/>
      </w:rPr>
      <w:t xml:space="preserve">Reports of Biochemistry &amp; Molecular Biology  </w:t>
    </w:r>
  </w:p>
  <w:p w14:paraId="193AEE4F" w14:textId="675B4D1F" w:rsidR="00C02CB2" w:rsidRPr="00373F64" w:rsidRDefault="00C02CB2" w:rsidP="00F36755">
    <w:pPr>
      <w:pStyle w:val="Footer"/>
      <w:tabs>
        <w:tab w:val="clear" w:pos="9360"/>
        <w:tab w:val="right" w:pos="8647"/>
        <w:tab w:val="left" w:pos="9356"/>
      </w:tabs>
      <w:rPr>
        <w:rFonts w:ascii="Arial" w:hAnsi="Arial"/>
        <w:sz w:val="18"/>
        <w:szCs w:val="18"/>
      </w:rPr>
    </w:pPr>
    <w:r w:rsidRPr="00373F64">
      <w:rPr>
        <w:rFonts w:ascii="Arial" w:hAnsi="Arial"/>
        <w:sz w:val="18"/>
        <w:szCs w:val="18"/>
      </w:rPr>
      <w:t>Vol.</w:t>
    </w:r>
    <w:r>
      <w:rPr>
        <w:rFonts w:ascii="Arial" w:hAnsi="Arial"/>
        <w:sz w:val="18"/>
        <w:szCs w:val="18"/>
      </w:rPr>
      <w:t>1</w:t>
    </w:r>
    <w:r w:rsidR="00A83E7C">
      <w:rPr>
        <w:rFonts w:ascii="Arial" w:hAnsi="Arial"/>
        <w:sz w:val="18"/>
        <w:szCs w:val="18"/>
      </w:rPr>
      <w:t>4</w:t>
    </w:r>
    <w:r w:rsidRPr="00373F64">
      <w:rPr>
        <w:rFonts w:ascii="Arial" w:hAnsi="Arial"/>
        <w:sz w:val="18"/>
        <w:szCs w:val="18"/>
      </w:rPr>
      <w:t>, No.</w:t>
    </w:r>
    <w:r w:rsidR="00A83E7C">
      <w:rPr>
        <w:rFonts w:ascii="Arial" w:hAnsi="Arial"/>
        <w:sz w:val="18"/>
        <w:szCs w:val="18"/>
      </w:rPr>
      <w:t>1</w:t>
    </w:r>
    <w:r w:rsidRPr="00373F64">
      <w:rPr>
        <w:rFonts w:ascii="Arial" w:hAnsi="Arial"/>
        <w:sz w:val="18"/>
        <w:szCs w:val="18"/>
      </w:rPr>
      <w:t>,</w:t>
    </w:r>
    <w:r w:rsidRPr="0076213D">
      <w:rPr>
        <w:rFonts w:ascii="Arial" w:hAnsi="Arial"/>
        <w:sz w:val="18"/>
        <w:szCs w:val="18"/>
      </w:rPr>
      <w:t xml:space="preserve"> </w:t>
    </w:r>
    <w:r w:rsidR="00A83E7C">
      <w:rPr>
        <w:rFonts w:ascii="Arial" w:hAnsi="Arial"/>
        <w:sz w:val="18"/>
        <w:szCs w:val="18"/>
      </w:rPr>
      <w:t>Apr</w:t>
    </w:r>
    <w:r>
      <w:rPr>
        <w:rFonts w:ascii="Arial" w:hAnsi="Arial"/>
        <w:sz w:val="18"/>
        <w:szCs w:val="18"/>
      </w:rPr>
      <w:t xml:space="preserve"> 2025</w:t>
    </w:r>
  </w:p>
  <w:p w14:paraId="04D50AAB" w14:textId="2DF25105" w:rsidR="00C02CB2" w:rsidRPr="00D57F97" w:rsidRDefault="00C02CB2" w:rsidP="00FD7B4B">
    <w:pPr>
      <w:pStyle w:val="Header"/>
      <w:rPr>
        <w:rFonts w:ascii="Arial" w:hAnsi="Arial"/>
        <w:sz w:val="18"/>
        <w:szCs w:val="18"/>
        <w:rtl/>
      </w:rPr>
    </w:pPr>
    <w:r>
      <w:rPr>
        <w:noProof/>
        <w:lang w:val="en-GB" w:eastAsia="en-GB"/>
      </w:rPr>
      <mc:AlternateContent>
        <mc:Choice Requires="wps">
          <w:drawing>
            <wp:anchor distT="0" distB="0" distL="114300" distR="114300" simplePos="0" relativeHeight="251657216" behindDoc="0" locked="0" layoutInCell="1" allowOverlap="1" wp14:anchorId="23630F46" wp14:editId="4EF84F18">
              <wp:simplePos x="0" y="0"/>
              <wp:positionH relativeFrom="column">
                <wp:posOffset>5071110</wp:posOffset>
              </wp:positionH>
              <wp:positionV relativeFrom="paragraph">
                <wp:posOffset>76835</wp:posOffset>
              </wp:positionV>
              <wp:extent cx="1525905" cy="276225"/>
              <wp:effectExtent l="0" t="0" r="17145" b="2857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276225"/>
                      </a:xfrm>
                      <a:prstGeom prst="rect">
                        <a:avLst/>
                      </a:prstGeom>
                      <a:solidFill>
                        <a:srgbClr val="FFFFFF"/>
                      </a:solidFill>
                      <a:ln w="9525">
                        <a:solidFill>
                          <a:srgbClr val="FFFFFF"/>
                        </a:solidFill>
                        <a:miter lim="800000"/>
                        <a:headEnd/>
                        <a:tailEnd/>
                      </a:ln>
                    </wps:spPr>
                    <wps:txbx>
                      <w:txbxContent>
                        <w:p w14:paraId="120E2B90" w14:textId="77777777" w:rsidR="00C02CB2" w:rsidRPr="00140DF1" w:rsidRDefault="00C02CB2" w:rsidP="00D20F83">
                          <w:pPr>
                            <w:spacing w:after="0" w:line="240" w:lineRule="auto"/>
                          </w:pPr>
                          <w:r w:rsidRPr="00140DF1">
                            <w:rPr>
                              <w:rFonts w:ascii="Arial" w:hAnsi="Arial"/>
                              <w:b/>
                              <w:bCs/>
                              <w:color w:val="000000"/>
                            </w:rPr>
                            <w:t>www.RBMB.net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30F46" id="Rectangle 3" o:spid="_x0000_s1027" style="position:absolute;margin-left:399.3pt;margin-top:6.05pt;width:120.1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" strokecolor="white">
              <v:textbox>
                <w:txbxContent>
                  <w:p w14:paraId="120E2B90" w14:textId="77777777" w:rsidR="00C02CB2" w:rsidRPr="00140DF1" w:rsidRDefault="00C02CB2" w:rsidP="00D20F83">
                    <w:pPr>
                      <w:spacing w:after="0" w:line="240" w:lineRule="auto"/>
                    </w:pPr>
                    <w:r w:rsidRPr="00140DF1">
                      <w:rPr>
                        <w:rFonts w:ascii="Arial" w:hAnsi="Arial"/>
                        <w:b/>
                        <w:bCs/>
                        <w:color w:val="000000"/>
                      </w:rPr>
                      <w:t>www.RBMB.net</w:t>
                    </w:r>
                  </w:p>
                </w:txbxContent>
              </v:textbox>
            </v:rect>
          </w:pict>
        </mc:Fallback>
      </mc:AlternateContent>
    </w:r>
  </w:p>
  <w:p w14:paraId="7C06FDE9" w14:textId="77777777" w:rsidR="00C02CB2" w:rsidRPr="00D07ABD" w:rsidRDefault="00C02CB2" w:rsidP="00883209">
    <w:pPr>
      <w:spacing w:after="0"/>
      <w:rPr>
        <w:rFonts w:ascii="Times New Roman" w:hAnsi="Times New Roman" w:cs="Times New Roman"/>
        <w:b/>
        <w:bCs/>
        <w:i/>
        <w:iCs/>
        <w:lang w:bidi="fa-IR"/>
      </w:rPr>
    </w:pPr>
    <w:r>
      <w:rPr>
        <w:rFonts w:ascii="Times New Roman" w:hAnsi="Times New Roman" w:cs="Times New Roman"/>
        <w:b/>
        <w:bCs/>
        <w:i/>
        <w:iCs/>
        <w:lang w:bidi="fa-IR"/>
      </w:rPr>
      <w:t>Original</w:t>
    </w:r>
    <w:r w:rsidRPr="00883209">
      <w:rPr>
        <w:rFonts w:ascii="Times New Roman" w:hAnsi="Times New Roman" w:cs="Times New Roman"/>
        <w:b/>
        <w:bCs/>
        <w:i/>
        <w:iCs/>
        <w:lang w:bidi="fa-IR"/>
      </w:rPr>
      <w:t xml:space="preserve"> </w:t>
    </w:r>
    <w:r w:rsidRPr="00D07ABD">
      <w:rPr>
        <w:rFonts w:ascii="Times New Roman" w:hAnsi="Times New Roman" w:cs="Times New Roman"/>
        <w:b/>
        <w:bCs/>
        <w:i/>
        <w:iCs/>
        <w:lang w:bidi="fa-IR"/>
      </w:rPr>
      <w:t>article</w:t>
    </w:r>
  </w:p>
  <w:p w14:paraId="3347D1E6" w14:textId="18F6B34A" w:rsidR="00C02CB2" w:rsidRPr="00D07ABD" w:rsidRDefault="005A7422" w:rsidP="00FD7B4B">
    <w:pPr>
      <w:pStyle w:val="Header"/>
      <w:rPr>
        <w:rFonts w:ascii="Times New Roman" w:hAnsi="Times New Roman" w:cs="Times New Roman"/>
      </w:rPr>
    </w:pPr>
    <w:r>
      <w:rPr>
        <w:rFonts w:ascii="Times New Roman" w:hAnsi="Times New Roman" w:cs="Times New Roman"/>
        <w:noProof/>
      </w:rPr>
      <w:pict w14:anchorId="3F3EBE37">
        <v:rect id="_x0000_i1026" alt="" style="width:481.95pt;height:3pt;mso-width-percent:0;mso-height-percent:0;mso-width-percent:0;mso-height-percent:0" o:hralign="center" o:hrstd="t" o:hrnoshade="t" o:hr="t" fillcolor="#0f243e"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D1E94A"/>
    <w:multiLevelType w:val="singleLevel"/>
    <w:tmpl w:val="87D1E94A"/>
    <w:lvl w:ilvl="0">
      <w:start w:val="1"/>
      <w:numFmt w:val="decimal"/>
      <w:suff w:val="space"/>
      <w:lvlText w:val="%1."/>
      <w:lvlJc w:val="left"/>
    </w:lvl>
  </w:abstractNum>
  <w:abstractNum w:abstractNumId="1" w15:restartNumberingAfterBreak="0">
    <w:nsid w:val="01E268B1"/>
    <w:multiLevelType w:val="hybridMultilevel"/>
    <w:tmpl w:val="6C7C7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06334"/>
    <w:multiLevelType w:val="hybridMultilevel"/>
    <w:tmpl w:val="AB02EF82"/>
    <w:lvl w:ilvl="0" w:tplc="0409000F">
      <w:start w:val="1"/>
      <w:numFmt w:val="decimal"/>
      <w:lvlText w:val="%1."/>
      <w:lvlJc w:val="left"/>
      <w:pPr>
        <w:ind w:left="928"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250A245F"/>
    <w:multiLevelType w:val="hybridMultilevel"/>
    <w:tmpl w:val="29E20A30"/>
    <w:lvl w:ilvl="0" w:tplc="1AF444CE">
      <w:start w:val="1"/>
      <w:numFmt w:val="decimal"/>
      <w:pStyle w:val="MDPI71References"/>
      <w:lvlText w:val="%1."/>
      <w:lvlJc w:val="left"/>
      <w:pPr>
        <w:ind w:left="-3615" w:hanging="420"/>
      </w:pPr>
      <w:rPr>
        <w:rFonts w:hint="default"/>
      </w:rPr>
    </w:lvl>
    <w:lvl w:ilvl="1" w:tplc="08090019" w:tentative="1">
      <w:start w:val="1"/>
      <w:numFmt w:val="lowerLetter"/>
      <w:lvlText w:val="%2."/>
      <w:lvlJc w:val="left"/>
      <w:pPr>
        <w:ind w:left="-295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1515" w:hanging="360"/>
      </w:pPr>
    </w:lvl>
    <w:lvl w:ilvl="4" w:tplc="08090019" w:tentative="1">
      <w:start w:val="1"/>
      <w:numFmt w:val="lowerLetter"/>
      <w:lvlText w:val="%5."/>
      <w:lvlJc w:val="left"/>
      <w:pPr>
        <w:ind w:left="-795" w:hanging="360"/>
      </w:pPr>
    </w:lvl>
    <w:lvl w:ilvl="5" w:tplc="0809001B" w:tentative="1">
      <w:start w:val="1"/>
      <w:numFmt w:val="lowerRoman"/>
      <w:lvlText w:val="%6."/>
      <w:lvlJc w:val="right"/>
      <w:pPr>
        <w:ind w:left="-75" w:hanging="180"/>
      </w:pPr>
    </w:lvl>
    <w:lvl w:ilvl="6" w:tplc="0809000F" w:tentative="1">
      <w:start w:val="1"/>
      <w:numFmt w:val="decimal"/>
      <w:lvlText w:val="%7."/>
      <w:lvlJc w:val="left"/>
      <w:pPr>
        <w:ind w:left="645" w:hanging="360"/>
      </w:pPr>
    </w:lvl>
    <w:lvl w:ilvl="7" w:tplc="08090019" w:tentative="1">
      <w:start w:val="1"/>
      <w:numFmt w:val="lowerLetter"/>
      <w:lvlText w:val="%8."/>
      <w:lvlJc w:val="left"/>
      <w:pPr>
        <w:ind w:left="1365" w:hanging="360"/>
      </w:pPr>
    </w:lvl>
    <w:lvl w:ilvl="8" w:tplc="0809001B" w:tentative="1">
      <w:start w:val="1"/>
      <w:numFmt w:val="lowerRoman"/>
      <w:lvlText w:val="%9."/>
      <w:lvlJc w:val="right"/>
      <w:pPr>
        <w:ind w:left="2085"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25FD5"/>
    <w:multiLevelType w:val="hybridMultilevel"/>
    <w:tmpl w:val="795C6010"/>
    <w:lvl w:ilvl="0" w:tplc="0409000F">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6F74DD0"/>
    <w:multiLevelType w:val="multilevel"/>
    <w:tmpl w:val="D2DA7952"/>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3A353786"/>
    <w:multiLevelType w:val="hybridMultilevel"/>
    <w:tmpl w:val="6EF89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F86B10"/>
    <w:multiLevelType w:val="hybridMultilevel"/>
    <w:tmpl w:val="71F43BC6"/>
    <w:lvl w:ilvl="0" w:tplc="6EDC5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F3263A"/>
    <w:multiLevelType w:val="hybridMultilevel"/>
    <w:tmpl w:val="7D083D4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45AA402B"/>
    <w:multiLevelType w:val="hybridMultilevel"/>
    <w:tmpl w:val="EDC8C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4F7ED5"/>
    <w:multiLevelType w:val="hybridMultilevel"/>
    <w:tmpl w:val="8F6E1A24"/>
    <w:lvl w:ilvl="0" w:tplc="0409000F">
      <w:start w:val="1"/>
      <w:numFmt w:val="decimal"/>
      <w:lvlText w:val="%1."/>
      <w:lvlJc w:val="left"/>
      <w:pPr>
        <w:ind w:left="4755" w:hanging="360"/>
      </w:pPr>
    </w:lvl>
    <w:lvl w:ilvl="1" w:tplc="04090019" w:tentative="1">
      <w:start w:val="1"/>
      <w:numFmt w:val="lowerLetter"/>
      <w:lvlText w:val="%2."/>
      <w:lvlJc w:val="left"/>
      <w:pPr>
        <w:ind w:left="5267" w:hanging="360"/>
      </w:pPr>
    </w:lvl>
    <w:lvl w:ilvl="2" w:tplc="0409001B" w:tentative="1">
      <w:start w:val="1"/>
      <w:numFmt w:val="lowerRoman"/>
      <w:lvlText w:val="%3."/>
      <w:lvlJc w:val="right"/>
      <w:pPr>
        <w:ind w:left="5987" w:hanging="180"/>
      </w:pPr>
    </w:lvl>
    <w:lvl w:ilvl="3" w:tplc="0409000F" w:tentative="1">
      <w:start w:val="1"/>
      <w:numFmt w:val="decimal"/>
      <w:lvlText w:val="%4."/>
      <w:lvlJc w:val="left"/>
      <w:pPr>
        <w:ind w:left="6707" w:hanging="360"/>
      </w:pPr>
    </w:lvl>
    <w:lvl w:ilvl="4" w:tplc="04090019" w:tentative="1">
      <w:start w:val="1"/>
      <w:numFmt w:val="lowerLetter"/>
      <w:lvlText w:val="%5."/>
      <w:lvlJc w:val="left"/>
      <w:pPr>
        <w:ind w:left="7427" w:hanging="360"/>
      </w:pPr>
    </w:lvl>
    <w:lvl w:ilvl="5" w:tplc="0409001B" w:tentative="1">
      <w:start w:val="1"/>
      <w:numFmt w:val="lowerRoman"/>
      <w:lvlText w:val="%6."/>
      <w:lvlJc w:val="right"/>
      <w:pPr>
        <w:ind w:left="8147" w:hanging="180"/>
      </w:pPr>
    </w:lvl>
    <w:lvl w:ilvl="6" w:tplc="0409000F" w:tentative="1">
      <w:start w:val="1"/>
      <w:numFmt w:val="decimal"/>
      <w:lvlText w:val="%7."/>
      <w:lvlJc w:val="left"/>
      <w:pPr>
        <w:ind w:left="8867" w:hanging="360"/>
      </w:pPr>
    </w:lvl>
    <w:lvl w:ilvl="7" w:tplc="04090019" w:tentative="1">
      <w:start w:val="1"/>
      <w:numFmt w:val="lowerLetter"/>
      <w:lvlText w:val="%8."/>
      <w:lvlJc w:val="left"/>
      <w:pPr>
        <w:ind w:left="9587" w:hanging="360"/>
      </w:pPr>
    </w:lvl>
    <w:lvl w:ilvl="8" w:tplc="0409001B" w:tentative="1">
      <w:start w:val="1"/>
      <w:numFmt w:val="lowerRoman"/>
      <w:lvlText w:val="%9."/>
      <w:lvlJc w:val="right"/>
      <w:pPr>
        <w:ind w:left="10307" w:hanging="180"/>
      </w:pPr>
    </w:lvl>
  </w:abstractNum>
  <w:abstractNum w:abstractNumId="13" w15:restartNumberingAfterBreak="0">
    <w:nsid w:val="4DC12D13"/>
    <w:multiLevelType w:val="hybridMultilevel"/>
    <w:tmpl w:val="E3747422"/>
    <w:lvl w:ilvl="0" w:tplc="25DCB5E6">
      <w:start w:val="1"/>
      <w:numFmt w:val="decimal"/>
      <w:lvlText w:val="%1."/>
      <w:lvlJc w:val="left"/>
      <w:pPr>
        <w:ind w:left="720" w:hanging="360"/>
      </w:pPr>
      <w:rPr>
        <w:rFonts w:ascii="Times New Roman" w:hAnsi="Times New Roman" w:cs="Times New Roman" w:hint="default"/>
        <w:color w:val="00000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2C1794"/>
    <w:multiLevelType w:val="hybridMultilevel"/>
    <w:tmpl w:val="7D083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9561D"/>
    <w:multiLevelType w:val="hybridMultilevel"/>
    <w:tmpl w:val="0FB296BC"/>
    <w:lvl w:ilvl="0" w:tplc="25DCB5E6">
      <w:start w:val="1"/>
      <w:numFmt w:val="decimal"/>
      <w:lvlText w:val="%1."/>
      <w:lvlJc w:val="left"/>
      <w:pPr>
        <w:ind w:left="720" w:hanging="360"/>
      </w:pPr>
      <w:rPr>
        <w:rFonts w:ascii="Times New Roman" w:hAnsi="Times New Roman" w:cs="Times New Roman" w:hint="default"/>
        <w:color w:val="00000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9D279D"/>
    <w:multiLevelType w:val="multilevel"/>
    <w:tmpl w:val="EBB2C7C2"/>
    <w:lvl w:ilvl="0">
      <w:start w:val="1"/>
      <w:numFmt w:val="decimal"/>
      <w:lvlText w:val="%1."/>
      <w:lvlJc w:val="left"/>
      <w:pPr>
        <w:ind w:left="4755" w:hanging="360"/>
      </w:pPr>
      <w:rPr>
        <w:vertAlign w:val="baseline"/>
      </w:rPr>
    </w:lvl>
    <w:lvl w:ilvl="1">
      <w:start w:val="1"/>
      <w:numFmt w:val="bullet"/>
      <w:lvlText w:val="o"/>
      <w:lvlJc w:val="left"/>
      <w:pPr>
        <w:ind w:left="5475" w:hanging="360"/>
      </w:pPr>
      <w:rPr>
        <w:rFonts w:ascii="Courier New" w:eastAsia="Courier New" w:hAnsi="Courier New" w:cs="Courier New"/>
        <w:vertAlign w:val="baseline"/>
      </w:rPr>
    </w:lvl>
    <w:lvl w:ilvl="2">
      <w:start w:val="1"/>
      <w:numFmt w:val="bullet"/>
      <w:lvlText w:val="▪"/>
      <w:lvlJc w:val="left"/>
      <w:pPr>
        <w:ind w:left="6195" w:hanging="360"/>
      </w:pPr>
      <w:rPr>
        <w:rFonts w:ascii="Noto Sans Symbols" w:eastAsia="Noto Sans Symbols" w:hAnsi="Noto Sans Symbols" w:cs="Noto Sans Symbols"/>
        <w:vertAlign w:val="baseline"/>
      </w:rPr>
    </w:lvl>
    <w:lvl w:ilvl="3">
      <w:start w:val="1"/>
      <w:numFmt w:val="bullet"/>
      <w:lvlText w:val="●"/>
      <w:lvlJc w:val="left"/>
      <w:pPr>
        <w:ind w:left="6915" w:hanging="360"/>
      </w:pPr>
      <w:rPr>
        <w:rFonts w:ascii="Noto Sans Symbols" w:eastAsia="Noto Sans Symbols" w:hAnsi="Noto Sans Symbols" w:cs="Noto Sans Symbols"/>
        <w:vertAlign w:val="baseline"/>
      </w:rPr>
    </w:lvl>
    <w:lvl w:ilvl="4">
      <w:start w:val="1"/>
      <w:numFmt w:val="bullet"/>
      <w:lvlText w:val="o"/>
      <w:lvlJc w:val="left"/>
      <w:pPr>
        <w:ind w:left="7635" w:hanging="360"/>
      </w:pPr>
      <w:rPr>
        <w:rFonts w:ascii="Courier New" w:eastAsia="Courier New" w:hAnsi="Courier New" w:cs="Courier New"/>
        <w:vertAlign w:val="baseline"/>
      </w:rPr>
    </w:lvl>
    <w:lvl w:ilvl="5">
      <w:start w:val="1"/>
      <w:numFmt w:val="bullet"/>
      <w:lvlText w:val="▪"/>
      <w:lvlJc w:val="left"/>
      <w:pPr>
        <w:ind w:left="8355" w:hanging="360"/>
      </w:pPr>
      <w:rPr>
        <w:rFonts w:ascii="Noto Sans Symbols" w:eastAsia="Noto Sans Symbols" w:hAnsi="Noto Sans Symbols" w:cs="Noto Sans Symbols"/>
        <w:vertAlign w:val="baseline"/>
      </w:rPr>
    </w:lvl>
    <w:lvl w:ilvl="6">
      <w:start w:val="1"/>
      <w:numFmt w:val="bullet"/>
      <w:lvlText w:val="●"/>
      <w:lvlJc w:val="left"/>
      <w:pPr>
        <w:ind w:left="9075" w:hanging="360"/>
      </w:pPr>
      <w:rPr>
        <w:rFonts w:ascii="Noto Sans Symbols" w:eastAsia="Noto Sans Symbols" w:hAnsi="Noto Sans Symbols" w:cs="Noto Sans Symbols"/>
        <w:vertAlign w:val="baseline"/>
      </w:rPr>
    </w:lvl>
    <w:lvl w:ilvl="7">
      <w:start w:val="1"/>
      <w:numFmt w:val="bullet"/>
      <w:lvlText w:val="o"/>
      <w:lvlJc w:val="left"/>
      <w:pPr>
        <w:ind w:left="9795" w:hanging="360"/>
      </w:pPr>
      <w:rPr>
        <w:rFonts w:ascii="Courier New" w:eastAsia="Courier New" w:hAnsi="Courier New" w:cs="Courier New"/>
        <w:vertAlign w:val="baseline"/>
      </w:rPr>
    </w:lvl>
    <w:lvl w:ilvl="8">
      <w:start w:val="1"/>
      <w:numFmt w:val="bullet"/>
      <w:lvlText w:val="▪"/>
      <w:lvlJc w:val="left"/>
      <w:pPr>
        <w:ind w:left="10515" w:hanging="360"/>
      </w:pPr>
      <w:rPr>
        <w:rFonts w:ascii="Noto Sans Symbols" w:eastAsia="Noto Sans Symbols" w:hAnsi="Noto Sans Symbols" w:cs="Noto Sans Symbols"/>
        <w:vertAlign w:val="baseline"/>
      </w:rPr>
    </w:lvl>
  </w:abstractNum>
  <w:abstractNum w:abstractNumId="17" w15:restartNumberingAfterBreak="0">
    <w:nsid w:val="61DB4E98"/>
    <w:multiLevelType w:val="hybridMultilevel"/>
    <w:tmpl w:val="5BBCAA8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69F07002"/>
    <w:multiLevelType w:val="hybridMultilevel"/>
    <w:tmpl w:val="7D083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2B44F7"/>
    <w:multiLevelType w:val="hybridMultilevel"/>
    <w:tmpl w:val="FA1462DC"/>
    <w:lvl w:ilvl="0" w:tplc="1C6A5E32">
      <w:start w:val="1"/>
      <w:numFmt w:val="decimal"/>
      <w:lvlText w:val="%1."/>
      <w:lvlJc w:val="left"/>
      <w:pPr>
        <w:ind w:left="643" w:hanging="360"/>
      </w:pPr>
      <w:rPr>
        <w:rFonts w:asciiTheme="majorBidi" w:eastAsiaTheme="minorEastAsia" w:hAnsiTheme="majorBidi" w:cstheme="majorBidi"/>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6"/>
  </w:num>
  <w:num w:numId="3">
    <w:abstractNumId w:val="3"/>
  </w:num>
  <w:num w:numId="4">
    <w:abstractNumId w:val="12"/>
  </w:num>
  <w:num w:numId="5">
    <w:abstractNumId w:val="2"/>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0"/>
  </w:num>
  <w:num w:numId="10">
    <w:abstractNumId w:val="18"/>
  </w:num>
  <w:num w:numId="11">
    <w:abstractNumId w:val="15"/>
  </w:num>
  <w:num w:numId="12">
    <w:abstractNumId w:val="13"/>
  </w:num>
  <w:num w:numId="13">
    <w:abstractNumId w:val="16"/>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9"/>
  </w:num>
  <w:num w:numId="17">
    <w:abstractNumId w:val="1"/>
  </w:num>
  <w:num w:numId="18">
    <w:abstractNumId w:val="8"/>
  </w:num>
  <w:num w:numId="19">
    <w:abstractNumId w:val="17"/>
  </w:num>
  <w:num w:numId="2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xMDS2MDA3MzE2NjVR0lEKTi0uzszPAykwrgUAeJrO3iwAAAA="/>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44C5F"/>
    <w:rsid w:val="0000067B"/>
    <w:rsid w:val="000007C5"/>
    <w:rsid w:val="00001B9C"/>
    <w:rsid w:val="000024A3"/>
    <w:rsid w:val="0000369A"/>
    <w:rsid w:val="000039B1"/>
    <w:rsid w:val="00006E96"/>
    <w:rsid w:val="00012E81"/>
    <w:rsid w:val="00014CA6"/>
    <w:rsid w:val="00015027"/>
    <w:rsid w:val="00015E06"/>
    <w:rsid w:val="00015E57"/>
    <w:rsid w:val="00015EEF"/>
    <w:rsid w:val="000165B2"/>
    <w:rsid w:val="00016F8C"/>
    <w:rsid w:val="00016FA0"/>
    <w:rsid w:val="00017CC6"/>
    <w:rsid w:val="00021A57"/>
    <w:rsid w:val="000222CF"/>
    <w:rsid w:val="000237F6"/>
    <w:rsid w:val="00023AF6"/>
    <w:rsid w:val="0002654D"/>
    <w:rsid w:val="0003050C"/>
    <w:rsid w:val="00031A20"/>
    <w:rsid w:val="00031AE0"/>
    <w:rsid w:val="00031C8D"/>
    <w:rsid w:val="0003206E"/>
    <w:rsid w:val="00033F66"/>
    <w:rsid w:val="00040AF5"/>
    <w:rsid w:val="00041B08"/>
    <w:rsid w:val="000431DD"/>
    <w:rsid w:val="00043498"/>
    <w:rsid w:val="00043FEC"/>
    <w:rsid w:val="000442E8"/>
    <w:rsid w:val="00044901"/>
    <w:rsid w:val="00044D6B"/>
    <w:rsid w:val="00046694"/>
    <w:rsid w:val="000469F2"/>
    <w:rsid w:val="0004734F"/>
    <w:rsid w:val="000473C0"/>
    <w:rsid w:val="00047606"/>
    <w:rsid w:val="00047988"/>
    <w:rsid w:val="00047E31"/>
    <w:rsid w:val="00050701"/>
    <w:rsid w:val="00050D55"/>
    <w:rsid w:val="00052F99"/>
    <w:rsid w:val="00053834"/>
    <w:rsid w:val="000538B3"/>
    <w:rsid w:val="00054D96"/>
    <w:rsid w:val="000564B2"/>
    <w:rsid w:val="00057A6B"/>
    <w:rsid w:val="00062198"/>
    <w:rsid w:val="00062A36"/>
    <w:rsid w:val="00062DA2"/>
    <w:rsid w:val="0006412B"/>
    <w:rsid w:val="000641E3"/>
    <w:rsid w:val="000653E1"/>
    <w:rsid w:val="000662F6"/>
    <w:rsid w:val="0007066A"/>
    <w:rsid w:val="000708EA"/>
    <w:rsid w:val="00071C75"/>
    <w:rsid w:val="000724E8"/>
    <w:rsid w:val="00072E76"/>
    <w:rsid w:val="000743D7"/>
    <w:rsid w:val="00074781"/>
    <w:rsid w:val="00075899"/>
    <w:rsid w:val="00080B50"/>
    <w:rsid w:val="0008101F"/>
    <w:rsid w:val="000829CC"/>
    <w:rsid w:val="00084270"/>
    <w:rsid w:val="000842BE"/>
    <w:rsid w:val="00084665"/>
    <w:rsid w:val="0008563D"/>
    <w:rsid w:val="000873F8"/>
    <w:rsid w:val="00087DCB"/>
    <w:rsid w:val="0009119F"/>
    <w:rsid w:val="000929A8"/>
    <w:rsid w:val="0009455F"/>
    <w:rsid w:val="000A08D6"/>
    <w:rsid w:val="000A199F"/>
    <w:rsid w:val="000A381C"/>
    <w:rsid w:val="000A48A1"/>
    <w:rsid w:val="000A4CD5"/>
    <w:rsid w:val="000A4F89"/>
    <w:rsid w:val="000A535A"/>
    <w:rsid w:val="000A7666"/>
    <w:rsid w:val="000B0454"/>
    <w:rsid w:val="000B07DD"/>
    <w:rsid w:val="000B0861"/>
    <w:rsid w:val="000B09F7"/>
    <w:rsid w:val="000B194D"/>
    <w:rsid w:val="000B1B27"/>
    <w:rsid w:val="000B3494"/>
    <w:rsid w:val="000B3827"/>
    <w:rsid w:val="000B496F"/>
    <w:rsid w:val="000B7461"/>
    <w:rsid w:val="000B76A8"/>
    <w:rsid w:val="000C07E6"/>
    <w:rsid w:val="000C1454"/>
    <w:rsid w:val="000C15A9"/>
    <w:rsid w:val="000C484C"/>
    <w:rsid w:val="000C537F"/>
    <w:rsid w:val="000C64F7"/>
    <w:rsid w:val="000C6D6C"/>
    <w:rsid w:val="000D15B8"/>
    <w:rsid w:val="000D1DF1"/>
    <w:rsid w:val="000D2183"/>
    <w:rsid w:val="000D397A"/>
    <w:rsid w:val="000D430A"/>
    <w:rsid w:val="000D480F"/>
    <w:rsid w:val="000D4961"/>
    <w:rsid w:val="000D4AD8"/>
    <w:rsid w:val="000D639B"/>
    <w:rsid w:val="000D7E1B"/>
    <w:rsid w:val="000D7FE3"/>
    <w:rsid w:val="000E2483"/>
    <w:rsid w:val="000E2DB7"/>
    <w:rsid w:val="000E2FD8"/>
    <w:rsid w:val="000E2FF6"/>
    <w:rsid w:val="000E35B1"/>
    <w:rsid w:val="000E3E4E"/>
    <w:rsid w:val="000E7A45"/>
    <w:rsid w:val="000E7C55"/>
    <w:rsid w:val="000E7C5E"/>
    <w:rsid w:val="000F0545"/>
    <w:rsid w:val="000F316F"/>
    <w:rsid w:val="000F4A27"/>
    <w:rsid w:val="000F4CA3"/>
    <w:rsid w:val="000F5443"/>
    <w:rsid w:val="000F5FDE"/>
    <w:rsid w:val="000F7487"/>
    <w:rsid w:val="000F7D75"/>
    <w:rsid w:val="00100703"/>
    <w:rsid w:val="00101361"/>
    <w:rsid w:val="001030C0"/>
    <w:rsid w:val="00103108"/>
    <w:rsid w:val="001051A4"/>
    <w:rsid w:val="00106067"/>
    <w:rsid w:val="0010749A"/>
    <w:rsid w:val="00112139"/>
    <w:rsid w:val="001121EB"/>
    <w:rsid w:val="00112B26"/>
    <w:rsid w:val="0011340A"/>
    <w:rsid w:val="00113C6A"/>
    <w:rsid w:val="00115D42"/>
    <w:rsid w:val="001172FC"/>
    <w:rsid w:val="0012095D"/>
    <w:rsid w:val="001213C6"/>
    <w:rsid w:val="0012423C"/>
    <w:rsid w:val="00125430"/>
    <w:rsid w:val="0012678A"/>
    <w:rsid w:val="001275CE"/>
    <w:rsid w:val="001314F7"/>
    <w:rsid w:val="001333DD"/>
    <w:rsid w:val="00133E1C"/>
    <w:rsid w:val="00134D37"/>
    <w:rsid w:val="00135252"/>
    <w:rsid w:val="00137AE9"/>
    <w:rsid w:val="00140070"/>
    <w:rsid w:val="00140748"/>
    <w:rsid w:val="0014338E"/>
    <w:rsid w:val="00144920"/>
    <w:rsid w:val="001458B6"/>
    <w:rsid w:val="001462DD"/>
    <w:rsid w:val="001466A0"/>
    <w:rsid w:val="001466BE"/>
    <w:rsid w:val="00147189"/>
    <w:rsid w:val="0015191B"/>
    <w:rsid w:val="00151E45"/>
    <w:rsid w:val="00152CF8"/>
    <w:rsid w:val="001563B0"/>
    <w:rsid w:val="001577F7"/>
    <w:rsid w:val="00161BFB"/>
    <w:rsid w:val="0016283A"/>
    <w:rsid w:val="001637B8"/>
    <w:rsid w:val="00163913"/>
    <w:rsid w:val="00163E5D"/>
    <w:rsid w:val="001643FD"/>
    <w:rsid w:val="00166024"/>
    <w:rsid w:val="00166268"/>
    <w:rsid w:val="00166D56"/>
    <w:rsid w:val="00166FAD"/>
    <w:rsid w:val="00167BCC"/>
    <w:rsid w:val="001725B2"/>
    <w:rsid w:val="001727B0"/>
    <w:rsid w:val="00172A32"/>
    <w:rsid w:val="00173208"/>
    <w:rsid w:val="001736D9"/>
    <w:rsid w:val="00174208"/>
    <w:rsid w:val="0017450F"/>
    <w:rsid w:val="001749F6"/>
    <w:rsid w:val="00174CA2"/>
    <w:rsid w:val="00175ED4"/>
    <w:rsid w:val="001765A6"/>
    <w:rsid w:val="001807D2"/>
    <w:rsid w:val="00181315"/>
    <w:rsid w:val="001847BC"/>
    <w:rsid w:val="00186824"/>
    <w:rsid w:val="00186AA8"/>
    <w:rsid w:val="001877DA"/>
    <w:rsid w:val="00190134"/>
    <w:rsid w:val="001906DE"/>
    <w:rsid w:val="00190EFE"/>
    <w:rsid w:val="00192C79"/>
    <w:rsid w:val="00194012"/>
    <w:rsid w:val="00194308"/>
    <w:rsid w:val="00194E3C"/>
    <w:rsid w:val="0019579D"/>
    <w:rsid w:val="00197398"/>
    <w:rsid w:val="00197444"/>
    <w:rsid w:val="001A061F"/>
    <w:rsid w:val="001A106B"/>
    <w:rsid w:val="001A253F"/>
    <w:rsid w:val="001A2994"/>
    <w:rsid w:val="001A3D9E"/>
    <w:rsid w:val="001A458D"/>
    <w:rsid w:val="001A46C2"/>
    <w:rsid w:val="001A47DF"/>
    <w:rsid w:val="001A4F92"/>
    <w:rsid w:val="001A5A27"/>
    <w:rsid w:val="001A5CF0"/>
    <w:rsid w:val="001B16E3"/>
    <w:rsid w:val="001B22B0"/>
    <w:rsid w:val="001B31D6"/>
    <w:rsid w:val="001B3A72"/>
    <w:rsid w:val="001B5521"/>
    <w:rsid w:val="001B590F"/>
    <w:rsid w:val="001B663D"/>
    <w:rsid w:val="001B71DE"/>
    <w:rsid w:val="001B7BF6"/>
    <w:rsid w:val="001C174A"/>
    <w:rsid w:val="001C3B6A"/>
    <w:rsid w:val="001C3E4F"/>
    <w:rsid w:val="001C52A5"/>
    <w:rsid w:val="001C5D15"/>
    <w:rsid w:val="001C689B"/>
    <w:rsid w:val="001C7131"/>
    <w:rsid w:val="001C747A"/>
    <w:rsid w:val="001D2FFF"/>
    <w:rsid w:val="001D31A8"/>
    <w:rsid w:val="001D3629"/>
    <w:rsid w:val="001D3C8B"/>
    <w:rsid w:val="001D4669"/>
    <w:rsid w:val="001D4A46"/>
    <w:rsid w:val="001D4E97"/>
    <w:rsid w:val="001D4F6C"/>
    <w:rsid w:val="001D53E8"/>
    <w:rsid w:val="001D5D9A"/>
    <w:rsid w:val="001D748C"/>
    <w:rsid w:val="001D74E5"/>
    <w:rsid w:val="001E03BA"/>
    <w:rsid w:val="001E0658"/>
    <w:rsid w:val="001E1365"/>
    <w:rsid w:val="001E274D"/>
    <w:rsid w:val="001E2A6E"/>
    <w:rsid w:val="001E460E"/>
    <w:rsid w:val="001E6CE4"/>
    <w:rsid w:val="001F0E3E"/>
    <w:rsid w:val="001F199E"/>
    <w:rsid w:val="001F3F4C"/>
    <w:rsid w:val="001F43B4"/>
    <w:rsid w:val="001F461D"/>
    <w:rsid w:val="001F4D4B"/>
    <w:rsid w:val="001F565E"/>
    <w:rsid w:val="001F58AA"/>
    <w:rsid w:val="001F6FFF"/>
    <w:rsid w:val="002008F4"/>
    <w:rsid w:val="00200ED7"/>
    <w:rsid w:val="002049D5"/>
    <w:rsid w:val="002077CE"/>
    <w:rsid w:val="002078BD"/>
    <w:rsid w:val="00207947"/>
    <w:rsid w:val="00212538"/>
    <w:rsid w:val="00212FAF"/>
    <w:rsid w:val="00216066"/>
    <w:rsid w:val="002171D9"/>
    <w:rsid w:val="00220143"/>
    <w:rsid w:val="002222E5"/>
    <w:rsid w:val="00222872"/>
    <w:rsid w:val="00222E98"/>
    <w:rsid w:val="00223762"/>
    <w:rsid w:val="00226242"/>
    <w:rsid w:val="00230036"/>
    <w:rsid w:val="0023063B"/>
    <w:rsid w:val="0023094B"/>
    <w:rsid w:val="00230A7A"/>
    <w:rsid w:val="00231345"/>
    <w:rsid w:val="00231632"/>
    <w:rsid w:val="00231B60"/>
    <w:rsid w:val="00231F52"/>
    <w:rsid w:val="00232BD0"/>
    <w:rsid w:val="00233A14"/>
    <w:rsid w:val="0023424B"/>
    <w:rsid w:val="0023705B"/>
    <w:rsid w:val="002433FF"/>
    <w:rsid w:val="002437D5"/>
    <w:rsid w:val="002440F3"/>
    <w:rsid w:val="002444DD"/>
    <w:rsid w:val="00244E72"/>
    <w:rsid w:val="0024566D"/>
    <w:rsid w:val="002464B1"/>
    <w:rsid w:val="00246717"/>
    <w:rsid w:val="00246A9D"/>
    <w:rsid w:val="00246F17"/>
    <w:rsid w:val="002476D8"/>
    <w:rsid w:val="0025024B"/>
    <w:rsid w:val="00251050"/>
    <w:rsid w:val="002526F6"/>
    <w:rsid w:val="00252B1E"/>
    <w:rsid w:val="0025306D"/>
    <w:rsid w:val="002544F9"/>
    <w:rsid w:val="00254C68"/>
    <w:rsid w:val="00261841"/>
    <w:rsid w:val="00261E09"/>
    <w:rsid w:val="00262173"/>
    <w:rsid w:val="00262E68"/>
    <w:rsid w:val="00263298"/>
    <w:rsid w:val="00265012"/>
    <w:rsid w:val="00265E99"/>
    <w:rsid w:val="002670F6"/>
    <w:rsid w:val="00267901"/>
    <w:rsid w:val="00267ADB"/>
    <w:rsid w:val="00270206"/>
    <w:rsid w:val="00272442"/>
    <w:rsid w:val="00275356"/>
    <w:rsid w:val="002755A1"/>
    <w:rsid w:val="00275BFC"/>
    <w:rsid w:val="00276633"/>
    <w:rsid w:val="0027797C"/>
    <w:rsid w:val="002842D9"/>
    <w:rsid w:val="00284678"/>
    <w:rsid w:val="00284BD7"/>
    <w:rsid w:val="002852F0"/>
    <w:rsid w:val="002908EE"/>
    <w:rsid w:val="00291F3F"/>
    <w:rsid w:val="0029229B"/>
    <w:rsid w:val="00292DCC"/>
    <w:rsid w:val="00293E0C"/>
    <w:rsid w:val="00293EFC"/>
    <w:rsid w:val="002947B8"/>
    <w:rsid w:val="00294C7E"/>
    <w:rsid w:val="00297D14"/>
    <w:rsid w:val="002A1404"/>
    <w:rsid w:val="002A17A6"/>
    <w:rsid w:val="002A1F79"/>
    <w:rsid w:val="002A4230"/>
    <w:rsid w:val="002A51DD"/>
    <w:rsid w:val="002A60D5"/>
    <w:rsid w:val="002A6399"/>
    <w:rsid w:val="002A7A87"/>
    <w:rsid w:val="002B1055"/>
    <w:rsid w:val="002B30C3"/>
    <w:rsid w:val="002B4B6A"/>
    <w:rsid w:val="002B5C2B"/>
    <w:rsid w:val="002B7130"/>
    <w:rsid w:val="002C02CC"/>
    <w:rsid w:val="002C0465"/>
    <w:rsid w:val="002C1EBA"/>
    <w:rsid w:val="002C254B"/>
    <w:rsid w:val="002C34B1"/>
    <w:rsid w:val="002C359D"/>
    <w:rsid w:val="002C35F2"/>
    <w:rsid w:val="002C527C"/>
    <w:rsid w:val="002C53AC"/>
    <w:rsid w:val="002C665D"/>
    <w:rsid w:val="002C6EB6"/>
    <w:rsid w:val="002D0BB6"/>
    <w:rsid w:val="002D2047"/>
    <w:rsid w:val="002D2DDE"/>
    <w:rsid w:val="002D3CB6"/>
    <w:rsid w:val="002D5B33"/>
    <w:rsid w:val="002D63F5"/>
    <w:rsid w:val="002E126A"/>
    <w:rsid w:val="002E12AC"/>
    <w:rsid w:val="002E1E4D"/>
    <w:rsid w:val="002E3300"/>
    <w:rsid w:val="002E409F"/>
    <w:rsid w:val="002E462B"/>
    <w:rsid w:val="002E5D7F"/>
    <w:rsid w:val="002E6201"/>
    <w:rsid w:val="002E6578"/>
    <w:rsid w:val="002E6B40"/>
    <w:rsid w:val="002E7CF7"/>
    <w:rsid w:val="002E7FF6"/>
    <w:rsid w:val="002F2536"/>
    <w:rsid w:val="002F2922"/>
    <w:rsid w:val="002F35C5"/>
    <w:rsid w:val="002F3770"/>
    <w:rsid w:val="002F3C20"/>
    <w:rsid w:val="002F46FE"/>
    <w:rsid w:val="002F473E"/>
    <w:rsid w:val="002F56EF"/>
    <w:rsid w:val="002F6E88"/>
    <w:rsid w:val="003014F3"/>
    <w:rsid w:val="00301D33"/>
    <w:rsid w:val="00302187"/>
    <w:rsid w:val="00302B9A"/>
    <w:rsid w:val="003033C0"/>
    <w:rsid w:val="003034CC"/>
    <w:rsid w:val="00304004"/>
    <w:rsid w:val="003110EC"/>
    <w:rsid w:val="003123B8"/>
    <w:rsid w:val="003127C2"/>
    <w:rsid w:val="00313AC6"/>
    <w:rsid w:val="00317C3D"/>
    <w:rsid w:val="003201B6"/>
    <w:rsid w:val="00321AA7"/>
    <w:rsid w:val="00322738"/>
    <w:rsid w:val="0032462D"/>
    <w:rsid w:val="0032485A"/>
    <w:rsid w:val="00326E8A"/>
    <w:rsid w:val="00330588"/>
    <w:rsid w:val="003308B5"/>
    <w:rsid w:val="00333043"/>
    <w:rsid w:val="00333679"/>
    <w:rsid w:val="00333B0E"/>
    <w:rsid w:val="003344A3"/>
    <w:rsid w:val="00337B08"/>
    <w:rsid w:val="0034055C"/>
    <w:rsid w:val="003430F8"/>
    <w:rsid w:val="003435C5"/>
    <w:rsid w:val="00345211"/>
    <w:rsid w:val="003452D0"/>
    <w:rsid w:val="00351C6C"/>
    <w:rsid w:val="00352399"/>
    <w:rsid w:val="00352AF7"/>
    <w:rsid w:val="00352FD1"/>
    <w:rsid w:val="003556CB"/>
    <w:rsid w:val="00355A94"/>
    <w:rsid w:val="00356A2E"/>
    <w:rsid w:val="003574D4"/>
    <w:rsid w:val="003604A5"/>
    <w:rsid w:val="00361D1B"/>
    <w:rsid w:val="003626E6"/>
    <w:rsid w:val="00363719"/>
    <w:rsid w:val="00363B04"/>
    <w:rsid w:val="00363B7F"/>
    <w:rsid w:val="00364F2A"/>
    <w:rsid w:val="003661E8"/>
    <w:rsid w:val="00367E92"/>
    <w:rsid w:val="003705AA"/>
    <w:rsid w:val="00371E53"/>
    <w:rsid w:val="003724C4"/>
    <w:rsid w:val="0037271A"/>
    <w:rsid w:val="00373F64"/>
    <w:rsid w:val="0037457F"/>
    <w:rsid w:val="00374B39"/>
    <w:rsid w:val="00374E3E"/>
    <w:rsid w:val="00375DC1"/>
    <w:rsid w:val="00376138"/>
    <w:rsid w:val="003774E7"/>
    <w:rsid w:val="0038143D"/>
    <w:rsid w:val="00385477"/>
    <w:rsid w:val="00385B5E"/>
    <w:rsid w:val="00385F0F"/>
    <w:rsid w:val="003865B3"/>
    <w:rsid w:val="00386D48"/>
    <w:rsid w:val="003879B6"/>
    <w:rsid w:val="0039243A"/>
    <w:rsid w:val="003957FB"/>
    <w:rsid w:val="00395804"/>
    <w:rsid w:val="00395C92"/>
    <w:rsid w:val="003975EC"/>
    <w:rsid w:val="003977B1"/>
    <w:rsid w:val="00397943"/>
    <w:rsid w:val="003A0E82"/>
    <w:rsid w:val="003A1123"/>
    <w:rsid w:val="003A1511"/>
    <w:rsid w:val="003A201B"/>
    <w:rsid w:val="003A21DF"/>
    <w:rsid w:val="003A2435"/>
    <w:rsid w:val="003A2FAB"/>
    <w:rsid w:val="003A4D04"/>
    <w:rsid w:val="003B0DE6"/>
    <w:rsid w:val="003B28C0"/>
    <w:rsid w:val="003B2B0E"/>
    <w:rsid w:val="003B3717"/>
    <w:rsid w:val="003B3803"/>
    <w:rsid w:val="003B4677"/>
    <w:rsid w:val="003B4994"/>
    <w:rsid w:val="003B59D2"/>
    <w:rsid w:val="003B6211"/>
    <w:rsid w:val="003B7209"/>
    <w:rsid w:val="003B769E"/>
    <w:rsid w:val="003C1952"/>
    <w:rsid w:val="003C1F19"/>
    <w:rsid w:val="003C1FC0"/>
    <w:rsid w:val="003C3508"/>
    <w:rsid w:val="003C411A"/>
    <w:rsid w:val="003C49D9"/>
    <w:rsid w:val="003C541E"/>
    <w:rsid w:val="003C65CB"/>
    <w:rsid w:val="003C6B23"/>
    <w:rsid w:val="003C6CBB"/>
    <w:rsid w:val="003C7CB6"/>
    <w:rsid w:val="003C7D0B"/>
    <w:rsid w:val="003D1114"/>
    <w:rsid w:val="003D1257"/>
    <w:rsid w:val="003D2E9B"/>
    <w:rsid w:val="003D3247"/>
    <w:rsid w:val="003D3FC7"/>
    <w:rsid w:val="003D4C53"/>
    <w:rsid w:val="003D5251"/>
    <w:rsid w:val="003D554B"/>
    <w:rsid w:val="003D5FD5"/>
    <w:rsid w:val="003D7A14"/>
    <w:rsid w:val="003D7AE2"/>
    <w:rsid w:val="003D7FC3"/>
    <w:rsid w:val="003E01E0"/>
    <w:rsid w:val="003E046E"/>
    <w:rsid w:val="003E04CA"/>
    <w:rsid w:val="003E0CD7"/>
    <w:rsid w:val="003E2EF7"/>
    <w:rsid w:val="003E3287"/>
    <w:rsid w:val="003E5033"/>
    <w:rsid w:val="003E6A21"/>
    <w:rsid w:val="003E6C57"/>
    <w:rsid w:val="003F0449"/>
    <w:rsid w:val="003F29D3"/>
    <w:rsid w:val="003F33AC"/>
    <w:rsid w:val="003F42EF"/>
    <w:rsid w:val="003F437F"/>
    <w:rsid w:val="003F4ADB"/>
    <w:rsid w:val="003F5F31"/>
    <w:rsid w:val="003F5F58"/>
    <w:rsid w:val="003F6754"/>
    <w:rsid w:val="003F75CF"/>
    <w:rsid w:val="003F78BF"/>
    <w:rsid w:val="00400F5F"/>
    <w:rsid w:val="0040105A"/>
    <w:rsid w:val="00401609"/>
    <w:rsid w:val="00402C43"/>
    <w:rsid w:val="00403603"/>
    <w:rsid w:val="00403818"/>
    <w:rsid w:val="00404A7F"/>
    <w:rsid w:val="00405920"/>
    <w:rsid w:val="0041237B"/>
    <w:rsid w:val="00412DD1"/>
    <w:rsid w:val="0041493A"/>
    <w:rsid w:val="00415CE5"/>
    <w:rsid w:val="004178AD"/>
    <w:rsid w:val="00417AC2"/>
    <w:rsid w:val="00421E60"/>
    <w:rsid w:val="0042301A"/>
    <w:rsid w:val="0042386C"/>
    <w:rsid w:val="0042412F"/>
    <w:rsid w:val="004252A9"/>
    <w:rsid w:val="004260BE"/>
    <w:rsid w:val="00426BA1"/>
    <w:rsid w:val="0042780D"/>
    <w:rsid w:val="00427D58"/>
    <w:rsid w:val="0043082D"/>
    <w:rsid w:val="00431180"/>
    <w:rsid w:val="00432188"/>
    <w:rsid w:val="0043266A"/>
    <w:rsid w:val="00432D8A"/>
    <w:rsid w:val="00433051"/>
    <w:rsid w:val="00433AFB"/>
    <w:rsid w:val="004348D1"/>
    <w:rsid w:val="004361D3"/>
    <w:rsid w:val="00440023"/>
    <w:rsid w:val="00440C4B"/>
    <w:rsid w:val="0044158E"/>
    <w:rsid w:val="00441A4F"/>
    <w:rsid w:val="00441B99"/>
    <w:rsid w:val="0044201E"/>
    <w:rsid w:val="00442165"/>
    <w:rsid w:val="004421F8"/>
    <w:rsid w:val="00443408"/>
    <w:rsid w:val="00445DC0"/>
    <w:rsid w:val="00447849"/>
    <w:rsid w:val="004479BB"/>
    <w:rsid w:val="0045049B"/>
    <w:rsid w:val="00450F79"/>
    <w:rsid w:val="00451EE0"/>
    <w:rsid w:val="00453D63"/>
    <w:rsid w:val="00454BF7"/>
    <w:rsid w:val="0045566D"/>
    <w:rsid w:val="00456F3F"/>
    <w:rsid w:val="00457551"/>
    <w:rsid w:val="004579CC"/>
    <w:rsid w:val="004603AD"/>
    <w:rsid w:val="0046076F"/>
    <w:rsid w:val="00461749"/>
    <w:rsid w:val="00462200"/>
    <w:rsid w:val="00462858"/>
    <w:rsid w:val="00462C52"/>
    <w:rsid w:val="00463E5D"/>
    <w:rsid w:val="00463E70"/>
    <w:rsid w:val="00465946"/>
    <w:rsid w:val="00465D6B"/>
    <w:rsid w:val="004665CD"/>
    <w:rsid w:val="00466A5E"/>
    <w:rsid w:val="00470C8E"/>
    <w:rsid w:val="0047316F"/>
    <w:rsid w:val="00473B22"/>
    <w:rsid w:val="00474ADE"/>
    <w:rsid w:val="00476470"/>
    <w:rsid w:val="0047666F"/>
    <w:rsid w:val="004766A1"/>
    <w:rsid w:val="00477C59"/>
    <w:rsid w:val="0048105A"/>
    <w:rsid w:val="00482713"/>
    <w:rsid w:val="0048362D"/>
    <w:rsid w:val="00483DE1"/>
    <w:rsid w:val="00484411"/>
    <w:rsid w:val="00485775"/>
    <w:rsid w:val="00486DE6"/>
    <w:rsid w:val="0048744A"/>
    <w:rsid w:val="00491671"/>
    <w:rsid w:val="00493624"/>
    <w:rsid w:val="00493A9E"/>
    <w:rsid w:val="004949B4"/>
    <w:rsid w:val="00494C14"/>
    <w:rsid w:val="00495300"/>
    <w:rsid w:val="00496E3A"/>
    <w:rsid w:val="00496EEF"/>
    <w:rsid w:val="004974F4"/>
    <w:rsid w:val="004A0D67"/>
    <w:rsid w:val="004A1C58"/>
    <w:rsid w:val="004A1D75"/>
    <w:rsid w:val="004A28F3"/>
    <w:rsid w:val="004A2F2B"/>
    <w:rsid w:val="004A75E8"/>
    <w:rsid w:val="004B23BE"/>
    <w:rsid w:val="004B5964"/>
    <w:rsid w:val="004C020A"/>
    <w:rsid w:val="004C1D03"/>
    <w:rsid w:val="004C1E8C"/>
    <w:rsid w:val="004C3C3B"/>
    <w:rsid w:val="004C544C"/>
    <w:rsid w:val="004C5693"/>
    <w:rsid w:val="004C67FC"/>
    <w:rsid w:val="004C6B12"/>
    <w:rsid w:val="004C7C9F"/>
    <w:rsid w:val="004C7F60"/>
    <w:rsid w:val="004D0718"/>
    <w:rsid w:val="004D15BD"/>
    <w:rsid w:val="004D1C9A"/>
    <w:rsid w:val="004D2776"/>
    <w:rsid w:val="004D395E"/>
    <w:rsid w:val="004D4208"/>
    <w:rsid w:val="004D4D39"/>
    <w:rsid w:val="004D5058"/>
    <w:rsid w:val="004D5F6F"/>
    <w:rsid w:val="004D6924"/>
    <w:rsid w:val="004D7164"/>
    <w:rsid w:val="004D78A9"/>
    <w:rsid w:val="004E0F95"/>
    <w:rsid w:val="004E28E1"/>
    <w:rsid w:val="004E3CBD"/>
    <w:rsid w:val="004E438C"/>
    <w:rsid w:val="004E6162"/>
    <w:rsid w:val="004E7E85"/>
    <w:rsid w:val="004F1201"/>
    <w:rsid w:val="004F1F3F"/>
    <w:rsid w:val="004F25ED"/>
    <w:rsid w:val="004F4775"/>
    <w:rsid w:val="004F525F"/>
    <w:rsid w:val="004F66E3"/>
    <w:rsid w:val="004F752D"/>
    <w:rsid w:val="005011A0"/>
    <w:rsid w:val="00502FDA"/>
    <w:rsid w:val="00504E7B"/>
    <w:rsid w:val="00506765"/>
    <w:rsid w:val="00506AF1"/>
    <w:rsid w:val="00506BA0"/>
    <w:rsid w:val="00507E27"/>
    <w:rsid w:val="0051274F"/>
    <w:rsid w:val="0051370B"/>
    <w:rsid w:val="005137D1"/>
    <w:rsid w:val="005146A6"/>
    <w:rsid w:val="0051551D"/>
    <w:rsid w:val="00515ED9"/>
    <w:rsid w:val="00516A42"/>
    <w:rsid w:val="00517CFA"/>
    <w:rsid w:val="00520E9F"/>
    <w:rsid w:val="0052189C"/>
    <w:rsid w:val="00521930"/>
    <w:rsid w:val="00523532"/>
    <w:rsid w:val="00523630"/>
    <w:rsid w:val="00523C31"/>
    <w:rsid w:val="00524142"/>
    <w:rsid w:val="00524702"/>
    <w:rsid w:val="00526950"/>
    <w:rsid w:val="00527769"/>
    <w:rsid w:val="00530C46"/>
    <w:rsid w:val="00531781"/>
    <w:rsid w:val="0053341A"/>
    <w:rsid w:val="00533541"/>
    <w:rsid w:val="005339F8"/>
    <w:rsid w:val="00534563"/>
    <w:rsid w:val="00535850"/>
    <w:rsid w:val="00536192"/>
    <w:rsid w:val="00536662"/>
    <w:rsid w:val="005371EF"/>
    <w:rsid w:val="0053793C"/>
    <w:rsid w:val="00537BCA"/>
    <w:rsid w:val="005418B6"/>
    <w:rsid w:val="00542EDD"/>
    <w:rsid w:val="00543500"/>
    <w:rsid w:val="0054350B"/>
    <w:rsid w:val="00545D2B"/>
    <w:rsid w:val="005474B3"/>
    <w:rsid w:val="00547B4E"/>
    <w:rsid w:val="005516A6"/>
    <w:rsid w:val="00553431"/>
    <w:rsid w:val="00553FA9"/>
    <w:rsid w:val="005547DF"/>
    <w:rsid w:val="00556764"/>
    <w:rsid w:val="00556991"/>
    <w:rsid w:val="005600CD"/>
    <w:rsid w:val="00561162"/>
    <w:rsid w:val="00562463"/>
    <w:rsid w:val="005652CB"/>
    <w:rsid w:val="005674FE"/>
    <w:rsid w:val="005679EE"/>
    <w:rsid w:val="00567D5D"/>
    <w:rsid w:val="005702DD"/>
    <w:rsid w:val="005708A4"/>
    <w:rsid w:val="00570D11"/>
    <w:rsid w:val="005712D7"/>
    <w:rsid w:val="005736BF"/>
    <w:rsid w:val="00575864"/>
    <w:rsid w:val="005764F2"/>
    <w:rsid w:val="0057741B"/>
    <w:rsid w:val="0057756A"/>
    <w:rsid w:val="005822D2"/>
    <w:rsid w:val="00586364"/>
    <w:rsid w:val="00586D69"/>
    <w:rsid w:val="00587E8E"/>
    <w:rsid w:val="005931C6"/>
    <w:rsid w:val="005937AC"/>
    <w:rsid w:val="00597BD1"/>
    <w:rsid w:val="005A07D1"/>
    <w:rsid w:val="005A0CB3"/>
    <w:rsid w:val="005A1129"/>
    <w:rsid w:val="005A1320"/>
    <w:rsid w:val="005A3014"/>
    <w:rsid w:val="005A4D2D"/>
    <w:rsid w:val="005A4D63"/>
    <w:rsid w:val="005A4DA0"/>
    <w:rsid w:val="005A70C8"/>
    <w:rsid w:val="005A7422"/>
    <w:rsid w:val="005A7C6D"/>
    <w:rsid w:val="005A7F14"/>
    <w:rsid w:val="005B23AE"/>
    <w:rsid w:val="005B32C8"/>
    <w:rsid w:val="005B50C4"/>
    <w:rsid w:val="005B6291"/>
    <w:rsid w:val="005B7704"/>
    <w:rsid w:val="005C02CF"/>
    <w:rsid w:val="005C1228"/>
    <w:rsid w:val="005C2949"/>
    <w:rsid w:val="005C6780"/>
    <w:rsid w:val="005D0EB5"/>
    <w:rsid w:val="005D2955"/>
    <w:rsid w:val="005D2F72"/>
    <w:rsid w:val="005D42B5"/>
    <w:rsid w:val="005D48CE"/>
    <w:rsid w:val="005D51A0"/>
    <w:rsid w:val="005D7AD1"/>
    <w:rsid w:val="005D7F35"/>
    <w:rsid w:val="005E1B19"/>
    <w:rsid w:val="005E25F5"/>
    <w:rsid w:val="005E3B32"/>
    <w:rsid w:val="005E7E86"/>
    <w:rsid w:val="005F3101"/>
    <w:rsid w:val="005F3208"/>
    <w:rsid w:val="005F358E"/>
    <w:rsid w:val="005F37B6"/>
    <w:rsid w:val="005F39C0"/>
    <w:rsid w:val="005F4A8F"/>
    <w:rsid w:val="00600A18"/>
    <w:rsid w:val="00602C8A"/>
    <w:rsid w:val="00605649"/>
    <w:rsid w:val="006060B5"/>
    <w:rsid w:val="0060667D"/>
    <w:rsid w:val="00606FE5"/>
    <w:rsid w:val="00610BF5"/>
    <w:rsid w:val="006116A4"/>
    <w:rsid w:val="00612533"/>
    <w:rsid w:val="00612C56"/>
    <w:rsid w:val="00613593"/>
    <w:rsid w:val="00614B3D"/>
    <w:rsid w:val="00615C3F"/>
    <w:rsid w:val="006201EF"/>
    <w:rsid w:val="0062122B"/>
    <w:rsid w:val="00621D5A"/>
    <w:rsid w:val="00621DCD"/>
    <w:rsid w:val="0062227C"/>
    <w:rsid w:val="00623643"/>
    <w:rsid w:val="00624170"/>
    <w:rsid w:val="00625368"/>
    <w:rsid w:val="006255A8"/>
    <w:rsid w:val="00625AF8"/>
    <w:rsid w:val="00626016"/>
    <w:rsid w:val="00626382"/>
    <w:rsid w:val="0062664E"/>
    <w:rsid w:val="00626F2F"/>
    <w:rsid w:val="00627D64"/>
    <w:rsid w:val="00630111"/>
    <w:rsid w:val="00632FAE"/>
    <w:rsid w:val="00634395"/>
    <w:rsid w:val="00634688"/>
    <w:rsid w:val="00635737"/>
    <w:rsid w:val="00635CD0"/>
    <w:rsid w:val="00636049"/>
    <w:rsid w:val="006364BF"/>
    <w:rsid w:val="006370DE"/>
    <w:rsid w:val="006416FF"/>
    <w:rsid w:val="006449C1"/>
    <w:rsid w:val="00644D8F"/>
    <w:rsid w:val="00645B7A"/>
    <w:rsid w:val="00651854"/>
    <w:rsid w:val="006522C5"/>
    <w:rsid w:val="00654756"/>
    <w:rsid w:val="00654B53"/>
    <w:rsid w:val="00654ED4"/>
    <w:rsid w:val="00654EEE"/>
    <w:rsid w:val="006576BD"/>
    <w:rsid w:val="006601C8"/>
    <w:rsid w:val="00660DE2"/>
    <w:rsid w:val="006636F0"/>
    <w:rsid w:val="00664DF3"/>
    <w:rsid w:val="00665BAB"/>
    <w:rsid w:val="00666535"/>
    <w:rsid w:val="00666D15"/>
    <w:rsid w:val="00667E29"/>
    <w:rsid w:val="00667ED0"/>
    <w:rsid w:val="00674107"/>
    <w:rsid w:val="006748F5"/>
    <w:rsid w:val="00674B11"/>
    <w:rsid w:val="006756BB"/>
    <w:rsid w:val="00676577"/>
    <w:rsid w:val="006772DB"/>
    <w:rsid w:val="00680618"/>
    <w:rsid w:val="00680642"/>
    <w:rsid w:val="0068177E"/>
    <w:rsid w:val="006835FC"/>
    <w:rsid w:val="00683EDB"/>
    <w:rsid w:val="00683FE6"/>
    <w:rsid w:val="006840F7"/>
    <w:rsid w:val="00684117"/>
    <w:rsid w:val="00684C20"/>
    <w:rsid w:val="0068560A"/>
    <w:rsid w:val="006870BD"/>
    <w:rsid w:val="00690080"/>
    <w:rsid w:val="00690B6D"/>
    <w:rsid w:val="00691C11"/>
    <w:rsid w:val="00691F30"/>
    <w:rsid w:val="006927FF"/>
    <w:rsid w:val="00693D94"/>
    <w:rsid w:val="00693F18"/>
    <w:rsid w:val="00695168"/>
    <w:rsid w:val="00695D67"/>
    <w:rsid w:val="0069623B"/>
    <w:rsid w:val="00696827"/>
    <w:rsid w:val="00696D40"/>
    <w:rsid w:val="006A02F0"/>
    <w:rsid w:val="006A1911"/>
    <w:rsid w:val="006A1E53"/>
    <w:rsid w:val="006A2E5C"/>
    <w:rsid w:val="006A3561"/>
    <w:rsid w:val="006A4A58"/>
    <w:rsid w:val="006A533B"/>
    <w:rsid w:val="006A5B80"/>
    <w:rsid w:val="006A6254"/>
    <w:rsid w:val="006A7972"/>
    <w:rsid w:val="006B0F19"/>
    <w:rsid w:val="006B1F4D"/>
    <w:rsid w:val="006B1FAD"/>
    <w:rsid w:val="006B45D8"/>
    <w:rsid w:val="006B74B6"/>
    <w:rsid w:val="006C0137"/>
    <w:rsid w:val="006C0426"/>
    <w:rsid w:val="006C0D2E"/>
    <w:rsid w:val="006C201C"/>
    <w:rsid w:val="006C2943"/>
    <w:rsid w:val="006C3472"/>
    <w:rsid w:val="006C35B8"/>
    <w:rsid w:val="006C42F1"/>
    <w:rsid w:val="006C5080"/>
    <w:rsid w:val="006C6372"/>
    <w:rsid w:val="006C7CD4"/>
    <w:rsid w:val="006D105F"/>
    <w:rsid w:val="006D44B7"/>
    <w:rsid w:val="006D451C"/>
    <w:rsid w:val="006D532F"/>
    <w:rsid w:val="006D6ED6"/>
    <w:rsid w:val="006D7141"/>
    <w:rsid w:val="006D7322"/>
    <w:rsid w:val="006E212A"/>
    <w:rsid w:val="006E301B"/>
    <w:rsid w:val="006E3EC7"/>
    <w:rsid w:val="006E501C"/>
    <w:rsid w:val="006E5103"/>
    <w:rsid w:val="006E552C"/>
    <w:rsid w:val="006E6BAD"/>
    <w:rsid w:val="006E7FF4"/>
    <w:rsid w:val="006F0557"/>
    <w:rsid w:val="006F2370"/>
    <w:rsid w:val="006F3155"/>
    <w:rsid w:val="006F3798"/>
    <w:rsid w:val="006F4821"/>
    <w:rsid w:val="006F72DC"/>
    <w:rsid w:val="006F7DE2"/>
    <w:rsid w:val="007002C1"/>
    <w:rsid w:val="007028E7"/>
    <w:rsid w:val="00703DA2"/>
    <w:rsid w:val="007040CB"/>
    <w:rsid w:val="00704142"/>
    <w:rsid w:val="007048F0"/>
    <w:rsid w:val="00705632"/>
    <w:rsid w:val="007059DB"/>
    <w:rsid w:val="0071078F"/>
    <w:rsid w:val="00712502"/>
    <w:rsid w:val="007135A4"/>
    <w:rsid w:val="007141C3"/>
    <w:rsid w:val="00715B95"/>
    <w:rsid w:val="00715C2C"/>
    <w:rsid w:val="0071653F"/>
    <w:rsid w:val="00716C0A"/>
    <w:rsid w:val="00717395"/>
    <w:rsid w:val="00717648"/>
    <w:rsid w:val="00717C98"/>
    <w:rsid w:val="007205C8"/>
    <w:rsid w:val="00720EAC"/>
    <w:rsid w:val="00722179"/>
    <w:rsid w:val="00722D65"/>
    <w:rsid w:val="00723BEF"/>
    <w:rsid w:val="0072659B"/>
    <w:rsid w:val="00727B82"/>
    <w:rsid w:val="00727FBF"/>
    <w:rsid w:val="007305B5"/>
    <w:rsid w:val="00730F60"/>
    <w:rsid w:val="00731781"/>
    <w:rsid w:val="00733551"/>
    <w:rsid w:val="007339E3"/>
    <w:rsid w:val="00734380"/>
    <w:rsid w:val="00735652"/>
    <w:rsid w:val="007356C5"/>
    <w:rsid w:val="0073661C"/>
    <w:rsid w:val="0073700A"/>
    <w:rsid w:val="00740C04"/>
    <w:rsid w:val="00741065"/>
    <w:rsid w:val="00744DB4"/>
    <w:rsid w:val="00746046"/>
    <w:rsid w:val="00747B7E"/>
    <w:rsid w:val="0075001C"/>
    <w:rsid w:val="007520F6"/>
    <w:rsid w:val="00752272"/>
    <w:rsid w:val="0075258E"/>
    <w:rsid w:val="00753604"/>
    <w:rsid w:val="00756E99"/>
    <w:rsid w:val="0076213D"/>
    <w:rsid w:val="00764566"/>
    <w:rsid w:val="0076738B"/>
    <w:rsid w:val="0077079F"/>
    <w:rsid w:val="0077136A"/>
    <w:rsid w:val="0077448D"/>
    <w:rsid w:val="007746B5"/>
    <w:rsid w:val="007752FE"/>
    <w:rsid w:val="0077538F"/>
    <w:rsid w:val="007757A1"/>
    <w:rsid w:val="00775C8A"/>
    <w:rsid w:val="00776310"/>
    <w:rsid w:val="00780827"/>
    <w:rsid w:val="00780B95"/>
    <w:rsid w:val="00783E67"/>
    <w:rsid w:val="00784A6D"/>
    <w:rsid w:val="007868FB"/>
    <w:rsid w:val="00786CC5"/>
    <w:rsid w:val="00786E42"/>
    <w:rsid w:val="00791015"/>
    <w:rsid w:val="0079217A"/>
    <w:rsid w:val="007946C1"/>
    <w:rsid w:val="00796BDC"/>
    <w:rsid w:val="00796D50"/>
    <w:rsid w:val="007A025E"/>
    <w:rsid w:val="007A04F6"/>
    <w:rsid w:val="007A3530"/>
    <w:rsid w:val="007A3550"/>
    <w:rsid w:val="007A6A84"/>
    <w:rsid w:val="007A6DE7"/>
    <w:rsid w:val="007A7133"/>
    <w:rsid w:val="007A713A"/>
    <w:rsid w:val="007A7BAE"/>
    <w:rsid w:val="007B053F"/>
    <w:rsid w:val="007B0ED8"/>
    <w:rsid w:val="007B2EAD"/>
    <w:rsid w:val="007B5444"/>
    <w:rsid w:val="007B580C"/>
    <w:rsid w:val="007B7773"/>
    <w:rsid w:val="007C0A1E"/>
    <w:rsid w:val="007C1143"/>
    <w:rsid w:val="007C1982"/>
    <w:rsid w:val="007C19C8"/>
    <w:rsid w:val="007C1AF1"/>
    <w:rsid w:val="007C27A3"/>
    <w:rsid w:val="007C28E9"/>
    <w:rsid w:val="007C2BB8"/>
    <w:rsid w:val="007C2F17"/>
    <w:rsid w:val="007C3768"/>
    <w:rsid w:val="007C3D3D"/>
    <w:rsid w:val="007C5010"/>
    <w:rsid w:val="007C67BC"/>
    <w:rsid w:val="007C7182"/>
    <w:rsid w:val="007D157C"/>
    <w:rsid w:val="007D1AA1"/>
    <w:rsid w:val="007D1BE6"/>
    <w:rsid w:val="007D1CA5"/>
    <w:rsid w:val="007D280A"/>
    <w:rsid w:val="007D2900"/>
    <w:rsid w:val="007D3B6F"/>
    <w:rsid w:val="007D4079"/>
    <w:rsid w:val="007D555F"/>
    <w:rsid w:val="007D5D6F"/>
    <w:rsid w:val="007D690E"/>
    <w:rsid w:val="007E048C"/>
    <w:rsid w:val="007E0646"/>
    <w:rsid w:val="007E08C4"/>
    <w:rsid w:val="007E3910"/>
    <w:rsid w:val="007E3CBE"/>
    <w:rsid w:val="007E4262"/>
    <w:rsid w:val="007E5692"/>
    <w:rsid w:val="007E5CAC"/>
    <w:rsid w:val="007E5DD5"/>
    <w:rsid w:val="007F01CF"/>
    <w:rsid w:val="007F4879"/>
    <w:rsid w:val="007F50EB"/>
    <w:rsid w:val="007F5B7B"/>
    <w:rsid w:val="007F6053"/>
    <w:rsid w:val="007F724E"/>
    <w:rsid w:val="007F7307"/>
    <w:rsid w:val="00805740"/>
    <w:rsid w:val="008058E4"/>
    <w:rsid w:val="008058FB"/>
    <w:rsid w:val="00805949"/>
    <w:rsid w:val="00805DDF"/>
    <w:rsid w:val="00806F2B"/>
    <w:rsid w:val="0081362C"/>
    <w:rsid w:val="00813A06"/>
    <w:rsid w:val="00815D98"/>
    <w:rsid w:val="008174FE"/>
    <w:rsid w:val="0081775F"/>
    <w:rsid w:val="00821263"/>
    <w:rsid w:val="00821402"/>
    <w:rsid w:val="00821D22"/>
    <w:rsid w:val="00822A70"/>
    <w:rsid w:val="00822C93"/>
    <w:rsid w:val="00823928"/>
    <w:rsid w:val="008250CB"/>
    <w:rsid w:val="0082726F"/>
    <w:rsid w:val="00827593"/>
    <w:rsid w:val="00827936"/>
    <w:rsid w:val="008304A6"/>
    <w:rsid w:val="00830D79"/>
    <w:rsid w:val="00831A02"/>
    <w:rsid w:val="00832D83"/>
    <w:rsid w:val="0083350D"/>
    <w:rsid w:val="00833DC0"/>
    <w:rsid w:val="00834442"/>
    <w:rsid w:val="00835954"/>
    <w:rsid w:val="0083618D"/>
    <w:rsid w:val="0083666C"/>
    <w:rsid w:val="008368B4"/>
    <w:rsid w:val="00837932"/>
    <w:rsid w:val="00840D52"/>
    <w:rsid w:val="0084134F"/>
    <w:rsid w:val="0084283B"/>
    <w:rsid w:val="00842A11"/>
    <w:rsid w:val="0084415C"/>
    <w:rsid w:val="00845959"/>
    <w:rsid w:val="0084599B"/>
    <w:rsid w:val="00847E00"/>
    <w:rsid w:val="0085214E"/>
    <w:rsid w:val="00854940"/>
    <w:rsid w:val="00854C2F"/>
    <w:rsid w:val="00854E5C"/>
    <w:rsid w:val="0085590F"/>
    <w:rsid w:val="00855AB3"/>
    <w:rsid w:val="00857689"/>
    <w:rsid w:val="00857A16"/>
    <w:rsid w:val="00857C22"/>
    <w:rsid w:val="00857EDD"/>
    <w:rsid w:val="008610C5"/>
    <w:rsid w:val="00862021"/>
    <w:rsid w:val="00863B13"/>
    <w:rsid w:val="00863E02"/>
    <w:rsid w:val="00864373"/>
    <w:rsid w:val="008643A7"/>
    <w:rsid w:val="00864F7B"/>
    <w:rsid w:val="00865757"/>
    <w:rsid w:val="0086657D"/>
    <w:rsid w:val="008665AE"/>
    <w:rsid w:val="00866B4E"/>
    <w:rsid w:val="008701A7"/>
    <w:rsid w:val="0087095F"/>
    <w:rsid w:val="00870CB8"/>
    <w:rsid w:val="0087168C"/>
    <w:rsid w:val="0087335D"/>
    <w:rsid w:val="00874F49"/>
    <w:rsid w:val="008753B4"/>
    <w:rsid w:val="00876492"/>
    <w:rsid w:val="00881009"/>
    <w:rsid w:val="00882363"/>
    <w:rsid w:val="00882414"/>
    <w:rsid w:val="00882F1F"/>
    <w:rsid w:val="00883209"/>
    <w:rsid w:val="00884C5C"/>
    <w:rsid w:val="0088579F"/>
    <w:rsid w:val="008865DF"/>
    <w:rsid w:val="0089025B"/>
    <w:rsid w:val="00890C86"/>
    <w:rsid w:val="00890E66"/>
    <w:rsid w:val="00891D8D"/>
    <w:rsid w:val="00892715"/>
    <w:rsid w:val="008932DB"/>
    <w:rsid w:val="00894458"/>
    <w:rsid w:val="00895470"/>
    <w:rsid w:val="0089589F"/>
    <w:rsid w:val="008963B1"/>
    <w:rsid w:val="0089726F"/>
    <w:rsid w:val="00897672"/>
    <w:rsid w:val="00897BD2"/>
    <w:rsid w:val="00897D30"/>
    <w:rsid w:val="008A36AE"/>
    <w:rsid w:val="008A3C09"/>
    <w:rsid w:val="008A573F"/>
    <w:rsid w:val="008A5D4D"/>
    <w:rsid w:val="008A670A"/>
    <w:rsid w:val="008B2ECB"/>
    <w:rsid w:val="008B44D1"/>
    <w:rsid w:val="008B653A"/>
    <w:rsid w:val="008B7F4E"/>
    <w:rsid w:val="008C32F3"/>
    <w:rsid w:val="008C406E"/>
    <w:rsid w:val="008C5525"/>
    <w:rsid w:val="008C589C"/>
    <w:rsid w:val="008C5CF2"/>
    <w:rsid w:val="008C5DB4"/>
    <w:rsid w:val="008C7756"/>
    <w:rsid w:val="008C7B08"/>
    <w:rsid w:val="008D22B6"/>
    <w:rsid w:val="008D5779"/>
    <w:rsid w:val="008D65FF"/>
    <w:rsid w:val="008E22D2"/>
    <w:rsid w:val="008E400C"/>
    <w:rsid w:val="008E455E"/>
    <w:rsid w:val="008E6D34"/>
    <w:rsid w:val="008E7E3A"/>
    <w:rsid w:val="008F1FC3"/>
    <w:rsid w:val="008F4C33"/>
    <w:rsid w:val="008F4E07"/>
    <w:rsid w:val="008F53E6"/>
    <w:rsid w:val="008F54F2"/>
    <w:rsid w:val="008F5A39"/>
    <w:rsid w:val="008F6383"/>
    <w:rsid w:val="008F6501"/>
    <w:rsid w:val="008F68DC"/>
    <w:rsid w:val="008F6CE0"/>
    <w:rsid w:val="0090172E"/>
    <w:rsid w:val="0090527E"/>
    <w:rsid w:val="00905736"/>
    <w:rsid w:val="00905E47"/>
    <w:rsid w:val="009068C0"/>
    <w:rsid w:val="00906FA1"/>
    <w:rsid w:val="00907DC9"/>
    <w:rsid w:val="0091008E"/>
    <w:rsid w:val="00913513"/>
    <w:rsid w:val="0091499F"/>
    <w:rsid w:val="009150DF"/>
    <w:rsid w:val="009160B7"/>
    <w:rsid w:val="00917705"/>
    <w:rsid w:val="00917998"/>
    <w:rsid w:val="00917FA9"/>
    <w:rsid w:val="009216F5"/>
    <w:rsid w:val="00921A6B"/>
    <w:rsid w:val="00923E75"/>
    <w:rsid w:val="009240B0"/>
    <w:rsid w:val="00924902"/>
    <w:rsid w:val="00925164"/>
    <w:rsid w:val="00927353"/>
    <w:rsid w:val="00927396"/>
    <w:rsid w:val="009279BE"/>
    <w:rsid w:val="009307E0"/>
    <w:rsid w:val="00930950"/>
    <w:rsid w:val="009311E5"/>
    <w:rsid w:val="0093496B"/>
    <w:rsid w:val="00935206"/>
    <w:rsid w:val="009361EF"/>
    <w:rsid w:val="00937877"/>
    <w:rsid w:val="009403EF"/>
    <w:rsid w:val="00940DC8"/>
    <w:rsid w:val="009414FA"/>
    <w:rsid w:val="0094157B"/>
    <w:rsid w:val="00942433"/>
    <w:rsid w:val="009434D8"/>
    <w:rsid w:val="009464A0"/>
    <w:rsid w:val="009467E3"/>
    <w:rsid w:val="00946E0B"/>
    <w:rsid w:val="00947930"/>
    <w:rsid w:val="00947E10"/>
    <w:rsid w:val="00951E27"/>
    <w:rsid w:val="00951F59"/>
    <w:rsid w:val="009524DD"/>
    <w:rsid w:val="0095292E"/>
    <w:rsid w:val="00952952"/>
    <w:rsid w:val="00952ABF"/>
    <w:rsid w:val="00953C14"/>
    <w:rsid w:val="009555C2"/>
    <w:rsid w:val="00955FE8"/>
    <w:rsid w:val="009561C6"/>
    <w:rsid w:val="00956328"/>
    <w:rsid w:val="00957CAC"/>
    <w:rsid w:val="0096079D"/>
    <w:rsid w:val="00960C91"/>
    <w:rsid w:val="00963342"/>
    <w:rsid w:val="0096459C"/>
    <w:rsid w:val="00964C1F"/>
    <w:rsid w:val="0096739A"/>
    <w:rsid w:val="009710EB"/>
    <w:rsid w:val="009721D4"/>
    <w:rsid w:val="00973F8F"/>
    <w:rsid w:val="009746A9"/>
    <w:rsid w:val="009757A6"/>
    <w:rsid w:val="0097710B"/>
    <w:rsid w:val="00980A53"/>
    <w:rsid w:val="009810EF"/>
    <w:rsid w:val="00981EBF"/>
    <w:rsid w:val="00982358"/>
    <w:rsid w:val="009825FB"/>
    <w:rsid w:val="0098273B"/>
    <w:rsid w:val="00982AA5"/>
    <w:rsid w:val="00983AE8"/>
    <w:rsid w:val="0098461B"/>
    <w:rsid w:val="0098567D"/>
    <w:rsid w:val="0098644F"/>
    <w:rsid w:val="009864F5"/>
    <w:rsid w:val="00986785"/>
    <w:rsid w:val="00986956"/>
    <w:rsid w:val="009909AA"/>
    <w:rsid w:val="0099243E"/>
    <w:rsid w:val="0099344C"/>
    <w:rsid w:val="00994985"/>
    <w:rsid w:val="00994DA5"/>
    <w:rsid w:val="009A007A"/>
    <w:rsid w:val="009A13FB"/>
    <w:rsid w:val="009A1F32"/>
    <w:rsid w:val="009A2B7F"/>
    <w:rsid w:val="009A35F2"/>
    <w:rsid w:val="009A3643"/>
    <w:rsid w:val="009A3F56"/>
    <w:rsid w:val="009A4151"/>
    <w:rsid w:val="009A4755"/>
    <w:rsid w:val="009A7A85"/>
    <w:rsid w:val="009B055D"/>
    <w:rsid w:val="009B0C61"/>
    <w:rsid w:val="009B2355"/>
    <w:rsid w:val="009B241D"/>
    <w:rsid w:val="009B32D1"/>
    <w:rsid w:val="009B3BFD"/>
    <w:rsid w:val="009B3CE0"/>
    <w:rsid w:val="009B42AF"/>
    <w:rsid w:val="009B532B"/>
    <w:rsid w:val="009B5858"/>
    <w:rsid w:val="009C0221"/>
    <w:rsid w:val="009C0382"/>
    <w:rsid w:val="009C0A8D"/>
    <w:rsid w:val="009C277A"/>
    <w:rsid w:val="009C543F"/>
    <w:rsid w:val="009C55F4"/>
    <w:rsid w:val="009C571B"/>
    <w:rsid w:val="009C6030"/>
    <w:rsid w:val="009C62BD"/>
    <w:rsid w:val="009C72AA"/>
    <w:rsid w:val="009C741B"/>
    <w:rsid w:val="009C782F"/>
    <w:rsid w:val="009C7C10"/>
    <w:rsid w:val="009C7EBA"/>
    <w:rsid w:val="009D12EF"/>
    <w:rsid w:val="009D1E29"/>
    <w:rsid w:val="009D1EE8"/>
    <w:rsid w:val="009D4538"/>
    <w:rsid w:val="009E2F93"/>
    <w:rsid w:val="009E6773"/>
    <w:rsid w:val="009E7571"/>
    <w:rsid w:val="009F27D0"/>
    <w:rsid w:val="009F4139"/>
    <w:rsid w:val="009F5220"/>
    <w:rsid w:val="009F585D"/>
    <w:rsid w:val="009F597B"/>
    <w:rsid w:val="009F5A73"/>
    <w:rsid w:val="009F6305"/>
    <w:rsid w:val="009F6A39"/>
    <w:rsid w:val="009F7F99"/>
    <w:rsid w:val="00A00AD6"/>
    <w:rsid w:val="00A00F4E"/>
    <w:rsid w:val="00A01054"/>
    <w:rsid w:val="00A0197A"/>
    <w:rsid w:val="00A02421"/>
    <w:rsid w:val="00A02F78"/>
    <w:rsid w:val="00A030A5"/>
    <w:rsid w:val="00A03FDA"/>
    <w:rsid w:val="00A05066"/>
    <w:rsid w:val="00A058FF"/>
    <w:rsid w:val="00A06A18"/>
    <w:rsid w:val="00A0751D"/>
    <w:rsid w:val="00A11C4D"/>
    <w:rsid w:val="00A12585"/>
    <w:rsid w:val="00A15D1B"/>
    <w:rsid w:val="00A16646"/>
    <w:rsid w:val="00A17A2C"/>
    <w:rsid w:val="00A17A79"/>
    <w:rsid w:val="00A2056D"/>
    <w:rsid w:val="00A2259C"/>
    <w:rsid w:val="00A23822"/>
    <w:rsid w:val="00A24E0E"/>
    <w:rsid w:val="00A25240"/>
    <w:rsid w:val="00A26FA3"/>
    <w:rsid w:val="00A27281"/>
    <w:rsid w:val="00A31A1F"/>
    <w:rsid w:val="00A34700"/>
    <w:rsid w:val="00A34D59"/>
    <w:rsid w:val="00A35D7F"/>
    <w:rsid w:val="00A36D23"/>
    <w:rsid w:val="00A370A5"/>
    <w:rsid w:val="00A4059C"/>
    <w:rsid w:val="00A42654"/>
    <w:rsid w:val="00A436A1"/>
    <w:rsid w:val="00A4497B"/>
    <w:rsid w:val="00A44B6F"/>
    <w:rsid w:val="00A44B72"/>
    <w:rsid w:val="00A456CC"/>
    <w:rsid w:val="00A458A8"/>
    <w:rsid w:val="00A46C48"/>
    <w:rsid w:val="00A4785B"/>
    <w:rsid w:val="00A50FE1"/>
    <w:rsid w:val="00A51C58"/>
    <w:rsid w:val="00A52899"/>
    <w:rsid w:val="00A52B9B"/>
    <w:rsid w:val="00A530CB"/>
    <w:rsid w:val="00A5322D"/>
    <w:rsid w:val="00A54D7C"/>
    <w:rsid w:val="00A54E28"/>
    <w:rsid w:val="00A55802"/>
    <w:rsid w:val="00A55DFD"/>
    <w:rsid w:val="00A55E11"/>
    <w:rsid w:val="00A56983"/>
    <w:rsid w:val="00A60777"/>
    <w:rsid w:val="00A610DD"/>
    <w:rsid w:val="00A61399"/>
    <w:rsid w:val="00A61CF3"/>
    <w:rsid w:val="00A62286"/>
    <w:rsid w:val="00A622CD"/>
    <w:rsid w:val="00A63FE5"/>
    <w:rsid w:val="00A6491A"/>
    <w:rsid w:val="00A659F8"/>
    <w:rsid w:val="00A67058"/>
    <w:rsid w:val="00A67D7E"/>
    <w:rsid w:val="00A70C38"/>
    <w:rsid w:val="00A718BE"/>
    <w:rsid w:val="00A71BF5"/>
    <w:rsid w:val="00A73FA4"/>
    <w:rsid w:val="00A7464A"/>
    <w:rsid w:val="00A74A77"/>
    <w:rsid w:val="00A75503"/>
    <w:rsid w:val="00A77D7F"/>
    <w:rsid w:val="00A80B11"/>
    <w:rsid w:val="00A81A75"/>
    <w:rsid w:val="00A829FD"/>
    <w:rsid w:val="00A83E7C"/>
    <w:rsid w:val="00A83FC2"/>
    <w:rsid w:val="00A842A9"/>
    <w:rsid w:val="00A84640"/>
    <w:rsid w:val="00A85AF4"/>
    <w:rsid w:val="00A90BB0"/>
    <w:rsid w:val="00A9140D"/>
    <w:rsid w:val="00A93A35"/>
    <w:rsid w:val="00A93DAD"/>
    <w:rsid w:val="00A97370"/>
    <w:rsid w:val="00AA0FF9"/>
    <w:rsid w:val="00AA1BB6"/>
    <w:rsid w:val="00AA1CF3"/>
    <w:rsid w:val="00AA5B11"/>
    <w:rsid w:val="00AA63A0"/>
    <w:rsid w:val="00AB1365"/>
    <w:rsid w:val="00AB1AF8"/>
    <w:rsid w:val="00AB24EA"/>
    <w:rsid w:val="00AB286B"/>
    <w:rsid w:val="00AB30FB"/>
    <w:rsid w:val="00AB34DF"/>
    <w:rsid w:val="00AB3911"/>
    <w:rsid w:val="00AB3956"/>
    <w:rsid w:val="00AB3B77"/>
    <w:rsid w:val="00AB6E94"/>
    <w:rsid w:val="00AB71EC"/>
    <w:rsid w:val="00AB731A"/>
    <w:rsid w:val="00AC0030"/>
    <w:rsid w:val="00AC1B9E"/>
    <w:rsid w:val="00AC26E6"/>
    <w:rsid w:val="00AC4CC9"/>
    <w:rsid w:val="00AC55BF"/>
    <w:rsid w:val="00AC64D9"/>
    <w:rsid w:val="00AC7EEC"/>
    <w:rsid w:val="00AD0F1D"/>
    <w:rsid w:val="00AD25A1"/>
    <w:rsid w:val="00AD3760"/>
    <w:rsid w:val="00AD7722"/>
    <w:rsid w:val="00AE0652"/>
    <w:rsid w:val="00AE5E12"/>
    <w:rsid w:val="00AE5E20"/>
    <w:rsid w:val="00AE6C74"/>
    <w:rsid w:val="00AE7138"/>
    <w:rsid w:val="00AE71DB"/>
    <w:rsid w:val="00AE73C4"/>
    <w:rsid w:val="00AF11C5"/>
    <w:rsid w:val="00AF28D6"/>
    <w:rsid w:val="00AF2F58"/>
    <w:rsid w:val="00AF34A0"/>
    <w:rsid w:val="00AF3C3F"/>
    <w:rsid w:val="00AF47BF"/>
    <w:rsid w:val="00AF54FD"/>
    <w:rsid w:val="00AF59CD"/>
    <w:rsid w:val="00AF736D"/>
    <w:rsid w:val="00AF7ECE"/>
    <w:rsid w:val="00B01866"/>
    <w:rsid w:val="00B04807"/>
    <w:rsid w:val="00B04DBC"/>
    <w:rsid w:val="00B0546C"/>
    <w:rsid w:val="00B05A0C"/>
    <w:rsid w:val="00B0731B"/>
    <w:rsid w:val="00B07CC1"/>
    <w:rsid w:val="00B10434"/>
    <w:rsid w:val="00B1074D"/>
    <w:rsid w:val="00B11E61"/>
    <w:rsid w:val="00B12408"/>
    <w:rsid w:val="00B12EC2"/>
    <w:rsid w:val="00B1321E"/>
    <w:rsid w:val="00B16191"/>
    <w:rsid w:val="00B16635"/>
    <w:rsid w:val="00B17FE3"/>
    <w:rsid w:val="00B23E69"/>
    <w:rsid w:val="00B23F7D"/>
    <w:rsid w:val="00B32027"/>
    <w:rsid w:val="00B32C8D"/>
    <w:rsid w:val="00B32FD7"/>
    <w:rsid w:val="00B33DD3"/>
    <w:rsid w:val="00B345F6"/>
    <w:rsid w:val="00B35E98"/>
    <w:rsid w:val="00B362F9"/>
    <w:rsid w:val="00B36B10"/>
    <w:rsid w:val="00B40B5E"/>
    <w:rsid w:val="00B41FDF"/>
    <w:rsid w:val="00B42385"/>
    <w:rsid w:val="00B43734"/>
    <w:rsid w:val="00B43E4F"/>
    <w:rsid w:val="00B4453D"/>
    <w:rsid w:val="00B50417"/>
    <w:rsid w:val="00B50FC0"/>
    <w:rsid w:val="00B52FC3"/>
    <w:rsid w:val="00B535F7"/>
    <w:rsid w:val="00B53F74"/>
    <w:rsid w:val="00B54071"/>
    <w:rsid w:val="00B54BC0"/>
    <w:rsid w:val="00B54F6B"/>
    <w:rsid w:val="00B54F85"/>
    <w:rsid w:val="00B55052"/>
    <w:rsid w:val="00B55CBC"/>
    <w:rsid w:val="00B57015"/>
    <w:rsid w:val="00B571C8"/>
    <w:rsid w:val="00B576F5"/>
    <w:rsid w:val="00B57BEA"/>
    <w:rsid w:val="00B62465"/>
    <w:rsid w:val="00B6257A"/>
    <w:rsid w:val="00B62774"/>
    <w:rsid w:val="00B63EA6"/>
    <w:rsid w:val="00B653EB"/>
    <w:rsid w:val="00B67092"/>
    <w:rsid w:val="00B7076D"/>
    <w:rsid w:val="00B70AE9"/>
    <w:rsid w:val="00B7276D"/>
    <w:rsid w:val="00B72FE5"/>
    <w:rsid w:val="00B737AB"/>
    <w:rsid w:val="00B7661C"/>
    <w:rsid w:val="00B81D1F"/>
    <w:rsid w:val="00B84C3D"/>
    <w:rsid w:val="00B86831"/>
    <w:rsid w:val="00B86B7D"/>
    <w:rsid w:val="00B921FA"/>
    <w:rsid w:val="00B92DCB"/>
    <w:rsid w:val="00B960F2"/>
    <w:rsid w:val="00B9628C"/>
    <w:rsid w:val="00B965E4"/>
    <w:rsid w:val="00BA0ECF"/>
    <w:rsid w:val="00BA3248"/>
    <w:rsid w:val="00BA4255"/>
    <w:rsid w:val="00BB173C"/>
    <w:rsid w:val="00BB69F4"/>
    <w:rsid w:val="00BC11AA"/>
    <w:rsid w:val="00BC1887"/>
    <w:rsid w:val="00BC1C82"/>
    <w:rsid w:val="00BC2DD3"/>
    <w:rsid w:val="00BC2F60"/>
    <w:rsid w:val="00BC3DF1"/>
    <w:rsid w:val="00BC4987"/>
    <w:rsid w:val="00BC5758"/>
    <w:rsid w:val="00BC5E18"/>
    <w:rsid w:val="00BC630F"/>
    <w:rsid w:val="00BC6E64"/>
    <w:rsid w:val="00BC7B30"/>
    <w:rsid w:val="00BD06FC"/>
    <w:rsid w:val="00BD1B13"/>
    <w:rsid w:val="00BD5023"/>
    <w:rsid w:val="00BE1535"/>
    <w:rsid w:val="00BE165F"/>
    <w:rsid w:val="00BE1A70"/>
    <w:rsid w:val="00BE2525"/>
    <w:rsid w:val="00BE3DCA"/>
    <w:rsid w:val="00BE5696"/>
    <w:rsid w:val="00BE7312"/>
    <w:rsid w:val="00BF1741"/>
    <w:rsid w:val="00BF32C7"/>
    <w:rsid w:val="00BF3DE1"/>
    <w:rsid w:val="00BF5280"/>
    <w:rsid w:val="00BF5EED"/>
    <w:rsid w:val="00BF621F"/>
    <w:rsid w:val="00BF7232"/>
    <w:rsid w:val="00C00FAD"/>
    <w:rsid w:val="00C01C27"/>
    <w:rsid w:val="00C01C71"/>
    <w:rsid w:val="00C02543"/>
    <w:rsid w:val="00C02CB2"/>
    <w:rsid w:val="00C04243"/>
    <w:rsid w:val="00C04769"/>
    <w:rsid w:val="00C05847"/>
    <w:rsid w:val="00C06875"/>
    <w:rsid w:val="00C07EDF"/>
    <w:rsid w:val="00C11E77"/>
    <w:rsid w:val="00C12471"/>
    <w:rsid w:val="00C1249E"/>
    <w:rsid w:val="00C124E9"/>
    <w:rsid w:val="00C12D74"/>
    <w:rsid w:val="00C130F4"/>
    <w:rsid w:val="00C148EE"/>
    <w:rsid w:val="00C17069"/>
    <w:rsid w:val="00C174E0"/>
    <w:rsid w:val="00C17860"/>
    <w:rsid w:val="00C178FA"/>
    <w:rsid w:val="00C20CAC"/>
    <w:rsid w:val="00C2120F"/>
    <w:rsid w:val="00C2182B"/>
    <w:rsid w:val="00C26B33"/>
    <w:rsid w:val="00C26E2D"/>
    <w:rsid w:val="00C279AD"/>
    <w:rsid w:val="00C324BF"/>
    <w:rsid w:val="00C32862"/>
    <w:rsid w:val="00C32AC9"/>
    <w:rsid w:val="00C32C51"/>
    <w:rsid w:val="00C33BDB"/>
    <w:rsid w:val="00C33E3E"/>
    <w:rsid w:val="00C3577B"/>
    <w:rsid w:val="00C35C88"/>
    <w:rsid w:val="00C3668A"/>
    <w:rsid w:val="00C41B0D"/>
    <w:rsid w:val="00C436FF"/>
    <w:rsid w:val="00C43EA5"/>
    <w:rsid w:val="00C43EDF"/>
    <w:rsid w:val="00C44186"/>
    <w:rsid w:val="00C52FB5"/>
    <w:rsid w:val="00C545D7"/>
    <w:rsid w:val="00C54738"/>
    <w:rsid w:val="00C5495B"/>
    <w:rsid w:val="00C554B5"/>
    <w:rsid w:val="00C564B9"/>
    <w:rsid w:val="00C56B14"/>
    <w:rsid w:val="00C5753C"/>
    <w:rsid w:val="00C604B1"/>
    <w:rsid w:val="00C61554"/>
    <w:rsid w:val="00C624C0"/>
    <w:rsid w:val="00C64FE6"/>
    <w:rsid w:val="00C6583B"/>
    <w:rsid w:val="00C66126"/>
    <w:rsid w:val="00C66945"/>
    <w:rsid w:val="00C67635"/>
    <w:rsid w:val="00C679B0"/>
    <w:rsid w:val="00C67ED1"/>
    <w:rsid w:val="00C702CB"/>
    <w:rsid w:val="00C72EC2"/>
    <w:rsid w:val="00C757D5"/>
    <w:rsid w:val="00C759E7"/>
    <w:rsid w:val="00C75E81"/>
    <w:rsid w:val="00C7660B"/>
    <w:rsid w:val="00C773F8"/>
    <w:rsid w:val="00C81957"/>
    <w:rsid w:val="00C843AC"/>
    <w:rsid w:val="00C84AE5"/>
    <w:rsid w:val="00C85983"/>
    <w:rsid w:val="00C85CB0"/>
    <w:rsid w:val="00C85DFD"/>
    <w:rsid w:val="00C91179"/>
    <w:rsid w:val="00C91607"/>
    <w:rsid w:val="00C92CE5"/>
    <w:rsid w:val="00C939C4"/>
    <w:rsid w:val="00C94590"/>
    <w:rsid w:val="00C949DF"/>
    <w:rsid w:val="00C94A2D"/>
    <w:rsid w:val="00C96A9D"/>
    <w:rsid w:val="00C97244"/>
    <w:rsid w:val="00C9739C"/>
    <w:rsid w:val="00CA141B"/>
    <w:rsid w:val="00CA47C8"/>
    <w:rsid w:val="00CA59E3"/>
    <w:rsid w:val="00CA6872"/>
    <w:rsid w:val="00CA76E3"/>
    <w:rsid w:val="00CB13AF"/>
    <w:rsid w:val="00CB22E3"/>
    <w:rsid w:val="00CB46AA"/>
    <w:rsid w:val="00CB53D0"/>
    <w:rsid w:val="00CB583D"/>
    <w:rsid w:val="00CB6787"/>
    <w:rsid w:val="00CB6FCD"/>
    <w:rsid w:val="00CC254A"/>
    <w:rsid w:val="00CC30DC"/>
    <w:rsid w:val="00CC3B91"/>
    <w:rsid w:val="00CC43A2"/>
    <w:rsid w:val="00CC56B3"/>
    <w:rsid w:val="00CC5E04"/>
    <w:rsid w:val="00CC665F"/>
    <w:rsid w:val="00CC6975"/>
    <w:rsid w:val="00CC6A97"/>
    <w:rsid w:val="00CD3122"/>
    <w:rsid w:val="00CD37EF"/>
    <w:rsid w:val="00CD3D5F"/>
    <w:rsid w:val="00CD433C"/>
    <w:rsid w:val="00CD43BC"/>
    <w:rsid w:val="00CD4948"/>
    <w:rsid w:val="00CD5354"/>
    <w:rsid w:val="00CD5A7E"/>
    <w:rsid w:val="00CD664A"/>
    <w:rsid w:val="00CD6E6E"/>
    <w:rsid w:val="00CD7F65"/>
    <w:rsid w:val="00CE0571"/>
    <w:rsid w:val="00CE118D"/>
    <w:rsid w:val="00CE3355"/>
    <w:rsid w:val="00CE4521"/>
    <w:rsid w:val="00CE60B7"/>
    <w:rsid w:val="00CE7EBD"/>
    <w:rsid w:val="00CF1363"/>
    <w:rsid w:val="00CF151A"/>
    <w:rsid w:val="00CF2DD6"/>
    <w:rsid w:val="00CF3B34"/>
    <w:rsid w:val="00CF3C40"/>
    <w:rsid w:val="00CF40AA"/>
    <w:rsid w:val="00CF53D1"/>
    <w:rsid w:val="00CF55C0"/>
    <w:rsid w:val="00CF64FC"/>
    <w:rsid w:val="00CF7148"/>
    <w:rsid w:val="00CF7848"/>
    <w:rsid w:val="00D01511"/>
    <w:rsid w:val="00D02324"/>
    <w:rsid w:val="00D025AB"/>
    <w:rsid w:val="00D03219"/>
    <w:rsid w:val="00D03BEC"/>
    <w:rsid w:val="00D03BFE"/>
    <w:rsid w:val="00D03E8D"/>
    <w:rsid w:val="00D05CAF"/>
    <w:rsid w:val="00D05D5D"/>
    <w:rsid w:val="00D07829"/>
    <w:rsid w:val="00D0788E"/>
    <w:rsid w:val="00D07ABD"/>
    <w:rsid w:val="00D10F88"/>
    <w:rsid w:val="00D11CE0"/>
    <w:rsid w:val="00D12466"/>
    <w:rsid w:val="00D12742"/>
    <w:rsid w:val="00D13D5E"/>
    <w:rsid w:val="00D14358"/>
    <w:rsid w:val="00D1504E"/>
    <w:rsid w:val="00D15CA7"/>
    <w:rsid w:val="00D17152"/>
    <w:rsid w:val="00D17892"/>
    <w:rsid w:val="00D20604"/>
    <w:rsid w:val="00D20F83"/>
    <w:rsid w:val="00D22080"/>
    <w:rsid w:val="00D232AF"/>
    <w:rsid w:val="00D23CC1"/>
    <w:rsid w:val="00D23E38"/>
    <w:rsid w:val="00D25AE4"/>
    <w:rsid w:val="00D26AC1"/>
    <w:rsid w:val="00D2731F"/>
    <w:rsid w:val="00D32070"/>
    <w:rsid w:val="00D32BD2"/>
    <w:rsid w:val="00D341E0"/>
    <w:rsid w:val="00D34E4E"/>
    <w:rsid w:val="00D364E3"/>
    <w:rsid w:val="00D423CD"/>
    <w:rsid w:val="00D42654"/>
    <w:rsid w:val="00D431EC"/>
    <w:rsid w:val="00D44769"/>
    <w:rsid w:val="00D44C5F"/>
    <w:rsid w:val="00D4576D"/>
    <w:rsid w:val="00D46DAB"/>
    <w:rsid w:val="00D5104A"/>
    <w:rsid w:val="00D51167"/>
    <w:rsid w:val="00D51BDD"/>
    <w:rsid w:val="00D524CE"/>
    <w:rsid w:val="00D55194"/>
    <w:rsid w:val="00D57F7E"/>
    <w:rsid w:val="00D604AC"/>
    <w:rsid w:val="00D60DAF"/>
    <w:rsid w:val="00D61B6D"/>
    <w:rsid w:val="00D62662"/>
    <w:rsid w:val="00D628E4"/>
    <w:rsid w:val="00D63779"/>
    <w:rsid w:val="00D64C8A"/>
    <w:rsid w:val="00D6513D"/>
    <w:rsid w:val="00D67EE6"/>
    <w:rsid w:val="00D70712"/>
    <w:rsid w:val="00D71E9D"/>
    <w:rsid w:val="00D725FE"/>
    <w:rsid w:val="00D72837"/>
    <w:rsid w:val="00D73F72"/>
    <w:rsid w:val="00D7554D"/>
    <w:rsid w:val="00D76582"/>
    <w:rsid w:val="00D76B29"/>
    <w:rsid w:val="00D76F46"/>
    <w:rsid w:val="00D77271"/>
    <w:rsid w:val="00D777D8"/>
    <w:rsid w:val="00D80752"/>
    <w:rsid w:val="00D80E2E"/>
    <w:rsid w:val="00D823FC"/>
    <w:rsid w:val="00D8402A"/>
    <w:rsid w:val="00D843AF"/>
    <w:rsid w:val="00D86917"/>
    <w:rsid w:val="00D902CD"/>
    <w:rsid w:val="00D90394"/>
    <w:rsid w:val="00D92319"/>
    <w:rsid w:val="00D924E0"/>
    <w:rsid w:val="00D93519"/>
    <w:rsid w:val="00D9432F"/>
    <w:rsid w:val="00D94B0E"/>
    <w:rsid w:val="00D95E77"/>
    <w:rsid w:val="00DA04A5"/>
    <w:rsid w:val="00DA173E"/>
    <w:rsid w:val="00DA327B"/>
    <w:rsid w:val="00DA4BA5"/>
    <w:rsid w:val="00DA4C49"/>
    <w:rsid w:val="00DA5001"/>
    <w:rsid w:val="00DA51A3"/>
    <w:rsid w:val="00DA5E66"/>
    <w:rsid w:val="00DB2648"/>
    <w:rsid w:val="00DB2C6C"/>
    <w:rsid w:val="00DB5CCA"/>
    <w:rsid w:val="00DB6D23"/>
    <w:rsid w:val="00DB762A"/>
    <w:rsid w:val="00DC0BC6"/>
    <w:rsid w:val="00DC1DE6"/>
    <w:rsid w:val="00DC22CA"/>
    <w:rsid w:val="00DC28BF"/>
    <w:rsid w:val="00DC347A"/>
    <w:rsid w:val="00DC3A76"/>
    <w:rsid w:val="00DC4499"/>
    <w:rsid w:val="00DC4C8F"/>
    <w:rsid w:val="00DC5CDD"/>
    <w:rsid w:val="00DC603C"/>
    <w:rsid w:val="00DC71D6"/>
    <w:rsid w:val="00DC73E0"/>
    <w:rsid w:val="00DD53CE"/>
    <w:rsid w:val="00DD6364"/>
    <w:rsid w:val="00DD714A"/>
    <w:rsid w:val="00DD7A91"/>
    <w:rsid w:val="00DE2DF9"/>
    <w:rsid w:val="00DE559A"/>
    <w:rsid w:val="00DE5902"/>
    <w:rsid w:val="00DE76EE"/>
    <w:rsid w:val="00DF1104"/>
    <w:rsid w:val="00DF1760"/>
    <w:rsid w:val="00DF2E3C"/>
    <w:rsid w:val="00DF31E6"/>
    <w:rsid w:val="00DF3CBF"/>
    <w:rsid w:val="00DF45D7"/>
    <w:rsid w:val="00DF4989"/>
    <w:rsid w:val="00DF5453"/>
    <w:rsid w:val="00DF5733"/>
    <w:rsid w:val="00DF5C31"/>
    <w:rsid w:val="00DF6048"/>
    <w:rsid w:val="00DF606D"/>
    <w:rsid w:val="00DF616A"/>
    <w:rsid w:val="00DF7684"/>
    <w:rsid w:val="00DF7AB1"/>
    <w:rsid w:val="00E004E7"/>
    <w:rsid w:val="00E00643"/>
    <w:rsid w:val="00E0183E"/>
    <w:rsid w:val="00E04B7C"/>
    <w:rsid w:val="00E05123"/>
    <w:rsid w:val="00E060AA"/>
    <w:rsid w:val="00E06346"/>
    <w:rsid w:val="00E0718C"/>
    <w:rsid w:val="00E076CF"/>
    <w:rsid w:val="00E1085B"/>
    <w:rsid w:val="00E1295A"/>
    <w:rsid w:val="00E16955"/>
    <w:rsid w:val="00E16C4D"/>
    <w:rsid w:val="00E16DC9"/>
    <w:rsid w:val="00E17434"/>
    <w:rsid w:val="00E20D52"/>
    <w:rsid w:val="00E211AC"/>
    <w:rsid w:val="00E21F15"/>
    <w:rsid w:val="00E21FC1"/>
    <w:rsid w:val="00E22F75"/>
    <w:rsid w:val="00E26B96"/>
    <w:rsid w:val="00E26CD9"/>
    <w:rsid w:val="00E30C10"/>
    <w:rsid w:val="00E31636"/>
    <w:rsid w:val="00E31E7E"/>
    <w:rsid w:val="00E327EB"/>
    <w:rsid w:val="00E3395D"/>
    <w:rsid w:val="00E34F83"/>
    <w:rsid w:val="00E35760"/>
    <w:rsid w:val="00E36830"/>
    <w:rsid w:val="00E3684C"/>
    <w:rsid w:val="00E40060"/>
    <w:rsid w:val="00E40CC5"/>
    <w:rsid w:val="00E40E13"/>
    <w:rsid w:val="00E422F7"/>
    <w:rsid w:val="00E435A4"/>
    <w:rsid w:val="00E44B18"/>
    <w:rsid w:val="00E4560F"/>
    <w:rsid w:val="00E4689E"/>
    <w:rsid w:val="00E5189E"/>
    <w:rsid w:val="00E528FB"/>
    <w:rsid w:val="00E52A24"/>
    <w:rsid w:val="00E53592"/>
    <w:rsid w:val="00E5467B"/>
    <w:rsid w:val="00E5577D"/>
    <w:rsid w:val="00E56075"/>
    <w:rsid w:val="00E5740B"/>
    <w:rsid w:val="00E57D55"/>
    <w:rsid w:val="00E611B1"/>
    <w:rsid w:val="00E61408"/>
    <w:rsid w:val="00E61816"/>
    <w:rsid w:val="00E61F74"/>
    <w:rsid w:val="00E6237B"/>
    <w:rsid w:val="00E627EB"/>
    <w:rsid w:val="00E66326"/>
    <w:rsid w:val="00E71158"/>
    <w:rsid w:val="00E72ADC"/>
    <w:rsid w:val="00E73418"/>
    <w:rsid w:val="00E73A09"/>
    <w:rsid w:val="00E745CB"/>
    <w:rsid w:val="00E74621"/>
    <w:rsid w:val="00E75545"/>
    <w:rsid w:val="00E75C1F"/>
    <w:rsid w:val="00E8317A"/>
    <w:rsid w:val="00E84ABE"/>
    <w:rsid w:val="00E84B3F"/>
    <w:rsid w:val="00E85A4D"/>
    <w:rsid w:val="00E85E6D"/>
    <w:rsid w:val="00E87683"/>
    <w:rsid w:val="00E9005F"/>
    <w:rsid w:val="00E9012E"/>
    <w:rsid w:val="00E9044E"/>
    <w:rsid w:val="00E93FD9"/>
    <w:rsid w:val="00E956D9"/>
    <w:rsid w:val="00E95DAE"/>
    <w:rsid w:val="00E9600B"/>
    <w:rsid w:val="00E97C53"/>
    <w:rsid w:val="00E97DE5"/>
    <w:rsid w:val="00EA034D"/>
    <w:rsid w:val="00EA1A6E"/>
    <w:rsid w:val="00EA2319"/>
    <w:rsid w:val="00EA25BF"/>
    <w:rsid w:val="00EA36FE"/>
    <w:rsid w:val="00EA39EE"/>
    <w:rsid w:val="00EA46A4"/>
    <w:rsid w:val="00EA4A8C"/>
    <w:rsid w:val="00EB0A49"/>
    <w:rsid w:val="00EB1FB7"/>
    <w:rsid w:val="00EB658B"/>
    <w:rsid w:val="00EB675A"/>
    <w:rsid w:val="00EB7FA2"/>
    <w:rsid w:val="00EC6725"/>
    <w:rsid w:val="00ED0D2C"/>
    <w:rsid w:val="00ED1553"/>
    <w:rsid w:val="00ED18FC"/>
    <w:rsid w:val="00ED1C24"/>
    <w:rsid w:val="00ED1CEC"/>
    <w:rsid w:val="00ED1EF5"/>
    <w:rsid w:val="00ED2FAC"/>
    <w:rsid w:val="00ED3E6D"/>
    <w:rsid w:val="00ED77E5"/>
    <w:rsid w:val="00ED7A59"/>
    <w:rsid w:val="00EE0193"/>
    <w:rsid w:val="00EE0EFA"/>
    <w:rsid w:val="00EE3DC2"/>
    <w:rsid w:val="00EE743B"/>
    <w:rsid w:val="00EF003A"/>
    <w:rsid w:val="00EF08C3"/>
    <w:rsid w:val="00EF1B7F"/>
    <w:rsid w:val="00EF2430"/>
    <w:rsid w:val="00EF2D26"/>
    <w:rsid w:val="00EF47F7"/>
    <w:rsid w:val="00EF5104"/>
    <w:rsid w:val="00EF7121"/>
    <w:rsid w:val="00F00D9A"/>
    <w:rsid w:val="00F0263A"/>
    <w:rsid w:val="00F026E1"/>
    <w:rsid w:val="00F02B5F"/>
    <w:rsid w:val="00F03409"/>
    <w:rsid w:val="00F03BD9"/>
    <w:rsid w:val="00F06C5E"/>
    <w:rsid w:val="00F07B7E"/>
    <w:rsid w:val="00F1075A"/>
    <w:rsid w:val="00F10F97"/>
    <w:rsid w:val="00F122EE"/>
    <w:rsid w:val="00F127D6"/>
    <w:rsid w:val="00F1320B"/>
    <w:rsid w:val="00F13EE6"/>
    <w:rsid w:val="00F144A7"/>
    <w:rsid w:val="00F148D5"/>
    <w:rsid w:val="00F16A41"/>
    <w:rsid w:val="00F20C52"/>
    <w:rsid w:val="00F224C9"/>
    <w:rsid w:val="00F22A48"/>
    <w:rsid w:val="00F2613F"/>
    <w:rsid w:val="00F26324"/>
    <w:rsid w:val="00F2655E"/>
    <w:rsid w:val="00F26603"/>
    <w:rsid w:val="00F26E83"/>
    <w:rsid w:val="00F35221"/>
    <w:rsid w:val="00F36755"/>
    <w:rsid w:val="00F375C6"/>
    <w:rsid w:val="00F37A97"/>
    <w:rsid w:val="00F402AF"/>
    <w:rsid w:val="00F4251B"/>
    <w:rsid w:val="00F42978"/>
    <w:rsid w:val="00F43128"/>
    <w:rsid w:val="00F43A89"/>
    <w:rsid w:val="00F43D18"/>
    <w:rsid w:val="00F44C36"/>
    <w:rsid w:val="00F44D4F"/>
    <w:rsid w:val="00F458D1"/>
    <w:rsid w:val="00F479F0"/>
    <w:rsid w:val="00F47E84"/>
    <w:rsid w:val="00F51430"/>
    <w:rsid w:val="00F52AE4"/>
    <w:rsid w:val="00F5360F"/>
    <w:rsid w:val="00F53C4C"/>
    <w:rsid w:val="00F547C6"/>
    <w:rsid w:val="00F570C5"/>
    <w:rsid w:val="00F57237"/>
    <w:rsid w:val="00F5734E"/>
    <w:rsid w:val="00F65E2E"/>
    <w:rsid w:val="00F6667E"/>
    <w:rsid w:val="00F706F6"/>
    <w:rsid w:val="00F70AC7"/>
    <w:rsid w:val="00F70CC1"/>
    <w:rsid w:val="00F72692"/>
    <w:rsid w:val="00F7318C"/>
    <w:rsid w:val="00F735C6"/>
    <w:rsid w:val="00F73942"/>
    <w:rsid w:val="00F743DD"/>
    <w:rsid w:val="00F7452D"/>
    <w:rsid w:val="00F74A83"/>
    <w:rsid w:val="00F74C83"/>
    <w:rsid w:val="00F7518E"/>
    <w:rsid w:val="00F7539A"/>
    <w:rsid w:val="00F80592"/>
    <w:rsid w:val="00F81ABD"/>
    <w:rsid w:val="00F824BA"/>
    <w:rsid w:val="00F837FC"/>
    <w:rsid w:val="00F83AEA"/>
    <w:rsid w:val="00F84F62"/>
    <w:rsid w:val="00F85748"/>
    <w:rsid w:val="00F85B19"/>
    <w:rsid w:val="00F904B3"/>
    <w:rsid w:val="00F91B97"/>
    <w:rsid w:val="00F9210C"/>
    <w:rsid w:val="00F927B3"/>
    <w:rsid w:val="00F93D66"/>
    <w:rsid w:val="00F94724"/>
    <w:rsid w:val="00F9530E"/>
    <w:rsid w:val="00F9691A"/>
    <w:rsid w:val="00F97055"/>
    <w:rsid w:val="00FA22BA"/>
    <w:rsid w:val="00FA26E7"/>
    <w:rsid w:val="00FA433F"/>
    <w:rsid w:val="00FA45CF"/>
    <w:rsid w:val="00FA59F5"/>
    <w:rsid w:val="00FA5E07"/>
    <w:rsid w:val="00FA62B2"/>
    <w:rsid w:val="00FA6AC8"/>
    <w:rsid w:val="00FA6D9C"/>
    <w:rsid w:val="00FB2360"/>
    <w:rsid w:val="00FB41CD"/>
    <w:rsid w:val="00FB507D"/>
    <w:rsid w:val="00FB5D24"/>
    <w:rsid w:val="00FB6B0E"/>
    <w:rsid w:val="00FB7168"/>
    <w:rsid w:val="00FB77D3"/>
    <w:rsid w:val="00FC0509"/>
    <w:rsid w:val="00FC0964"/>
    <w:rsid w:val="00FC22D6"/>
    <w:rsid w:val="00FC32B0"/>
    <w:rsid w:val="00FC5C50"/>
    <w:rsid w:val="00FC7919"/>
    <w:rsid w:val="00FD0488"/>
    <w:rsid w:val="00FD12BD"/>
    <w:rsid w:val="00FD1E43"/>
    <w:rsid w:val="00FD65C1"/>
    <w:rsid w:val="00FD6935"/>
    <w:rsid w:val="00FD6E2C"/>
    <w:rsid w:val="00FD75C7"/>
    <w:rsid w:val="00FD7B4B"/>
    <w:rsid w:val="00FD7B7E"/>
    <w:rsid w:val="00FE2A4B"/>
    <w:rsid w:val="00FE32FE"/>
    <w:rsid w:val="00FE52CF"/>
    <w:rsid w:val="00FE562D"/>
    <w:rsid w:val="00FE5689"/>
    <w:rsid w:val="00FE5728"/>
    <w:rsid w:val="00FE5AF7"/>
    <w:rsid w:val="00FE60FD"/>
    <w:rsid w:val="00FE6E87"/>
    <w:rsid w:val="00FF09EC"/>
    <w:rsid w:val="00FF0EB7"/>
    <w:rsid w:val="00FF15B2"/>
    <w:rsid w:val="00FF4D41"/>
    <w:rsid w:val="00FF58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AF339B"/>
  <w14:defaultImageDpi w14:val="32767"/>
  <w15:chartTrackingRefBased/>
  <w15:docId w15:val="{006B62AC-0360-46A9-923A-6D1DCBC5B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qFormat="1"/>
    <w:lsdException w:name="Colorful Grid Accent 2"/>
    <w:lsdException w:name="Light Shading Accent 3"/>
    <w:lsdException w:name="Light List Accent 3"/>
    <w:lsdException w:name="Light Grid Accent 3" w:uiPriority="62" w:qFormat="1"/>
    <w:lsdException w:name="Medium Shading 1 Accent 3" w:qFormat="1"/>
    <w:lsdException w:name="Medium Shading 2 Accent 3" w:qFormat="1"/>
    <w:lsdException w:name="Medium List 1 Accent 3"/>
    <w:lsdException w:name="Medium List 2 Accent 3"/>
    <w:lsdException w:name="Medium Grid 1 Accent 3" w:uiPriority="1" w:qFormat="1"/>
    <w:lsdException w:name="Medium Grid 2 Accent 3"/>
    <w:lsdException w:name="Medium Grid 3 Accent 3"/>
    <w:lsdException w:name="Dark List Accent 3"/>
    <w:lsdException w:name="Colorful Shading Accent 3" w:qFormat="1"/>
    <w:lsdException w:name="Colorful List Accent 3" w:qFormat="1"/>
    <w:lsdException w:name="Colorful Grid Accent 3" w:qFormat="1"/>
    <w:lsdException w:name="Light Shading Accent 4"/>
    <w:lsdException w:name="Light List Accent 4"/>
    <w:lsdException w:name="Light Grid Accent 4" w:qFormat="1"/>
    <w:lsdException w:name="Medium Shading 1 Accent 4"/>
    <w:lsdException w:name="Medium Shading 2 Accent 4"/>
    <w:lsdException w:name="Medium List 1 Accent 4"/>
    <w:lsdException w:name="Medium List 2 Accent 4" w:qFormat="1"/>
    <w:lsdException w:name="Medium Grid 1 Accent 4" w:qFormat="1"/>
    <w:lsdException w:name="Medium Grid 2 Accent 4" w:qFormat="1"/>
    <w:lsdException w:name="Medium Grid 3 Accent 4"/>
    <w:lsdException w:name="Dark List Accent 4"/>
    <w:lsdException w:name="Colorful Shading Accent 4" w:qFormat="1"/>
    <w:lsdException w:name="Colorful List Accent 4"/>
    <w:lsdException w:name="Colorful Grid Accent 4"/>
    <w:lsdException w:name="Light Shading Accent 5"/>
    <w:lsdException w:name="Light List Accent 5" w:uiPriority="34" w:qFormat="1"/>
    <w:lsdException w:name="Light Grid Accent 5" w:uiPriority="29" w:qFormat="1"/>
    <w:lsdException w:name="Medium Shading 1 Accent 5" w:uiPriority="30" w:qFormat="1"/>
    <w:lsdException w:name="Medium Shading 2 Accent 5"/>
    <w:lsdException w:name="Medium List 1 Accent 5"/>
    <w:lsdException w:name="Medium List 2 Accent 5" w:qFormat="1"/>
    <w:lsdException w:name="Medium Grid 1 Accent 5"/>
    <w:lsdException w:name="Medium Grid 2 Accent 5"/>
    <w:lsdException w:name="Medium Grid 3 Accent 5"/>
    <w:lsdException w:name="Dark List Accent 5" w:qFormat="1"/>
    <w:lsdException w:name="Colorful Shading Accent 5" w:qFormat="1"/>
    <w:lsdException w:name="Colorful List Accent 5" w:qFormat="1"/>
    <w:lsdException w:name="Colorful Grid Accent 5"/>
    <w:lsdException w:name="Light Shading Accent 6"/>
    <w:lsdException w:name="Light List Accent 6" w:qFormat="1"/>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lsdException w:name="Medium Grid 3 Accent 6"/>
    <w:lsdException w:name="Dark List Accent 6" w:qFormat="1"/>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2" w:uiPriority="42"/>
    <w:lsdException w:name="Plain Table 3" w:qFormat="1"/>
    <w:lsdException w:name="Plain Table 4" w:uiPriority="44" w:qFormat="1"/>
    <w:lsdException w:name="Plain Table 5" w:qFormat="1"/>
    <w:lsdException w:name="Grid Table Light" w:qFormat="1"/>
    <w:lsdException w:name="Grid Table 1 Light" w:qFormat="1"/>
    <w:lsdException w:name="Grid Table 2" w:qFormat="1"/>
    <w:lsdException w:name="Grid Table 3" w:uiPriority="60" w:qFormat="1"/>
    <w:lsdException w:name="Grid Table 6 Colorful" w:qFormat="1"/>
    <w:lsdException w:name="Grid Table 7 Colorful" w:qFormat="1"/>
    <w:lsdException w:name="Grid Table 1 Light Accent 1" w:qFormat="1"/>
    <w:lsdException w:name="Grid Table 2 Accent 1" w:qFormat="1"/>
    <w:lsdException w:name="Grid Table 3 Accent 1" w:qFormat="1"/>
    <w:lsdException w:name="Grid Table 4 Accent 1" w:qFormat="1"/>
    <w:lsdException w:name="Grid Table 5 Dark Accent 1"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51"/>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E9F"/>
  </w:style>
  <w:style w:type="paragraph" w:styleId="Heading1">
    <w:name w:val="heading 1"/>
    <w:basedOn w:val="Normal"/>
    <w:next w:val="Normal"/>
    <w:link w:val="Heading1Char"/>
    <w:uiPriority w:val="9"/>
    <w:qFormat/>
    <w:rsid w:val="00520E9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0E9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520E9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520E9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520E9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520E9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rsid w:val="00520E9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unhideWhenUsed/>
    <w:qFormat/>
    <w:rsid w:val="00520E9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rsid w:val="00520E9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E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20E9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520E9F"/>
    <w:rPr>
      <w:rFonts w:asciiTheme="majorHAnsi" w:eastAsiaTheme="majorEastAsia" w:hAnsiTheme="majorHAnsi" w:cstheme="majorBidi"/>
      <w:color w:val="44546A" w:themeColor="text2"/>
      <w:sz w:val="24"/>
      <w:szCs w:val="24"/>
    </w:rPr>
  </w:style>
  <w:style w:type="paragraph" w:styleId="Footer">
    <w:name w:val="footer"/>
    <w:basedOn w:val="Normal"/>
    <w:link w:val="FooterChar"/>
    <w:uiPriority w:val="99"/>
    <w:unhideWhenUsed/>
    <w:rsid w:val="00D44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C5F"/>
  </w:style>
  <w:style w:type="paragraph" w:styleId="Header">
    <w:name w:val="header"/>
    <w:basedOn w:val="Normal"/>
    <w:link w:val="HeaderChar"/>
    <w:uiPriority w:val="99"/>
    <w:unhideWhenUsed/>
    <w:rsid w:val="00D44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C5F"/>
  </w:style>
  <w:style w:type="paragraph" w:styleId="CommentText">
    <w:name w:val="annotation text"/>
    <w:basedOn w:val="Normal"/>
    <w:link w:val="CommentTextChar"/>
    <w:uiPriority w:val="99"/>
    <w:unhideWhenUsed/>
    <w:rsid w:val="00D44C5F"/>
    <w:pPr>
      <w:spacing w:line="240" w:lineRule="auto"/>
    </w:pPr>
    <w:rPr>
      <w:rFonts w:cs="Times New Roman"/>
      <w:lang w:val="x-none" w:eastAsia="x-none"/>
    </w:rPr>
  </w:style>
  <w:style w:type="character" w:customStyle="1" w:styleId="CommentTextChar">
    <w:name w:val="Comment Text Char"/>
    <w:link w:val="CommentText"/>
    <w:uiPriority w:val="99"/>
    <w:rsid w:val="00D44C5F"/>
    <w:rPr>
      <w:sz w:val="20"/>
      <w:szCs w:val="20"/>
    </w:rPr>
  </w:style>
  <w:style w:type="character" w:styleId="PageNumber">
    <w:name w:val="page number"/>
    <w:basedOn w:val="DefaultParagraphFont"/>
    <w:rsid w:val="00D44C5F"/>
  </w:style>
  <w:style w:type="character" w:styleId="CommentReference">
    <w:name w:val="annotation reference"/>
    <w:uiPriority w:val="99"/>
    <w:semiHidden/>
    <w:unhideWhenUsed/>
    <w:rsid w:val="00D44C5F"/>
    <w:rPr>
      <w:sz w:val="16"/>
      <w:szCs w:val="16"/>
    </w:rPr>
  </w:style>
  <w:style w:type="paragraph" w:styleId="BalloonText">
    <w:name w:val="Balloon Text"/>
    <w:basedOn w:val="Normal"/>
    <w:link w:val="BalloonTextChar"/>
    <w:uiPriority w:val="99"/>
    <w:semiHidden/>
    <w:unhideWhenUsed/>
    <w:rsid w:val="00D44C5F"/>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D44C5F"/>
    <w:rPr>
      <w:rFonts w:ascii="Tahoma" w:hAnsi="Tahoma" w:cs="Tahoma"/>
      <w:sz w:val="16"/>
      <w:szCs w:val="16"/>
    </w:rPr>
  </w:style>
  <w:style w:type="character" w:styleId="Hyperlink">
    <w:name w:val="Hyperlink"/>
    <w:uiPriority w:val="99"/>
    <w:unhideWhenUsed/>
    <w:rsid w:val="004E438C"/>
    <w:rPr>
      <w:color w:val="0000FF"/>
      <w:u w:val="single"/>
    </w:rPr>
  </w:style>
  <w:style w:type="paragraph" w:customStyle="1" w:styleId="GridTable1Light-Accent21">
    <w:name w:val="Grid Table 1 Light - Accent 21"/>
    <w:basedOn w:val="Normal"/>
    <w:uiPriority w:val="34"/>
    <w:rsid w:val="00186AA8"/>
    <w:pPr>
      <w:ind w:left="720"/>
      <w:contextualSpacing/>
    </w:pPr>
  </w:style>
  <w:style w:type="paragraph" w:customStyle="1" w:styleId="PlainTable31">
    <w:name w:val="Plain Table 31"/>
    <w:basedOn w:val="Normal"/>
    <w:uiPriority w:val="72"/>
    <w:rsid w:val="007C27A3"/>
    <w:pPr>
      <w:ind w:left="720"/>
    </w:pPr>
  </w:style>
  <w:style w:type="table" w:styleId="TableGrid">
    <w:name w:val="Table Grid"/>
    <w:basedOn w:val="TableNormal"/>
    <w:uiPriority w:val="39"/>
    <w:qFormat/>
    <w:rsid w:val="00A5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2227C"/>
    <w:rPr>
      <w:rFonts w:ascii="Courier New" w:hAnsi="Courier New" w:cs="Times New Roman"/>
      <w:lang w:val="x-none" w:eastAsia="x-none"/>
    </w:rPr>
  </w:style>
  <w:style w:type="character" w:customStyle="1" w:styleId="HTMLPreformattedChar">
    <w:name w:val="HTML Preformatted Char"/>
    <w:link w:val="HTMLPreformatted"/>
    <w:uiPriority w:val="99"/>
    <w:rsid w:val="0062227C"/>
    <w:rPr>
      <w:rFonts w:ascii="Courier New" w:hAnsi="Courier New" w:cs="Courier New"/>
    </w:rPr>
  </w:style>
  <w:style w:type="paragraph" w:styleId="CommentSubject">
    <w:name w:val="annotation subject"/>
    <w:basedOn w:val="CommentText"/>
    <w:next w:val="CommentText"/>
    <w:link w:val="CommentSubjectChar"/>
    <w:uiPriority w:val="99"/>
    <w:semiHidden/>
    <w:unhideWhenUsed/>
    <w:rsid w:val="0062227C"/>
    <w:pPr>
      <w:spacing w:after="160"/>
    </w:pPr>
    <w:rPr>
      <w:b/>
      <w:bCs/>
      <w:lang w:val="en-GB"/>
    </w:rPr>
  </w:style>
  <w:style w:type="character" w:customStyle="1" w:styleId="CommentSubjectChar">
    <w:name w:val="Comment Subject Char"/>
    <w:link w:val="CommentSubject"/>
    <w:uiPriority w:val="99"/>
    <w:semiHidden/>
    <w:rsid w:val="0062227C"/>
    <w:rPr>
      <w:b/>
      <w:bCs/>
      <w:sz w:val="20"/>
      <w:szCs w:val="20"/>
      <w:lang w:val="en-GB"/>
    </w:rPr>
  </w:style>
  <w:style w:type="table" w:customStyle="1" w:styleId="LightShading1">
    <w:name w:val="Light Shading1"/>
    <w:basedOn w:val="TableNormal"/>
    <w:uiPriority w:val="60"/>
    <w:rsid w:val="00666535"/>
    <w:rPr>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F026E1"/>
    <w:rPr>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sid w:val="00BC3DF1"/>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uiPriority w:val="42"/>
    <w:rsid w:val="00BC3DF1"/>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uiPriority w:val="42"/>
    <w:rsid w:val="00BC3DF1"/>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ocumentMap">
    <w:name w:val="Document Map"/>
    <w:basedOn w:val="Normal"/>
    <w:link w:val="DocumentMapChar"/>
    <w:uiPriority w:val="99"/>
    <w:semiHidden/>
    <w:unhideWhenUsed/>
    <w:rsid w:val="0008563D"/>
    <w:rPr>
      <w:rFonts w:ascii="Times New Roman" w:hAnsi="Times New Roman" w:cs="Times New Roman"/>
      <w:sz w:val="24"/>
      <w:szCs w:val="24"/>
      <w:lang w:val="x-none" w:eastAsia="x-none"/>
    </w:rPr>
  </w:style>
  <w:style w:type="character" w:customStyle="1" w:styleId="DocumentMapChar">
    <w:name w:val="Document Map Char"/>
    <w:link w:val="DocumentMap"/>
    <w:uiPriority w:val="99"/>
    <w:semiHidden/>
    <w:rsid w:val="0008563D"/>
    <w:rPr>
      <w:rFonts w:ascii="Times New Roman" w:hAnsi="Times New Roman" w:cs="Times New Roman"/>
      <w:sz w:val="24"/>
      <w:szCs w:val="24"/>
    </w:rPr>
  </w:style>
  <w:style w:type="table" w:customStyle="1" w:styleId="LightShading12">
    <w:name w:val="Light Shading12"/>
    <w:basedOn w:val="TableNormal"/>
    <w:uiPriority w:val="60"/>
    <w:rsid w:val="00166FAD"/>
    <w:rPr>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TableNormal"/>
    <w:uiPriority w:val="60"/>
    <w:rsid w:val="00363719"/>
    <w:rPr>
      <w:color w:val="000000"/>
      <w:sz w:val="22"/>
      <w:szCs w:val="22"/>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441A4F"/>
    <w:pPr>
      <w:autoSpaceDE w:val="0"/>
      <w:autoSpaceDN w:val="0"/>
      <w:adjustRightInd w:val="0"/>
    </w:pPr>
    <w:rPr>
      <w:rFonts w:ascii="Gill Sans MT" w:hAnsi="Gill Sans MT" w:cs="Gill Sans MT"/>
      <w:color w:val="000000"/>
      <w:sz w:val="24"/>
      <w:szCs w:val="24"/>
    </w:rPr>
  </w:style>
  <w:style w:type="character" w:styleId="Strong">
    <w:name w:val="Strong"/>
    <w:basedOn w:val="DefaultParagraphFont"/>
    <w:uiPriority w:val="22"/>
    <w:qFormat/>
    <w:rsid w:val="00520E9F"/>
    <w:rPr>
      <w:b/>
      <w:bCs/>
    </w:rPr>
  </w:style>
  <w:style w:type="paragraph" w:customStyle="1" w:styleId="MediumList2-Accent41">
    <w:name w:val="Medium List 2 - Accent 41"/>
    <w:basedOn w:val="Normal"/>
    <w:uiPriority w:val="34"/>
    <w:rsid w:val="00F7518E"/>
    <w:pPr>
      <w:autoSpaceDE w:val="0"/>
      <w:autoSpaceDN w:val="0"/>
      <w:adjustRightInd w:val="0"/>
      <w:spacing w:after="0" w:line="240" w:lineRule="auto"/>
      <w:ind w:left="720"/>
      <w:contextualSpacing/>
    </w:pPr>
    <w:rPr>
      <w:rFonts w:ascii="Dutch801BT-Bold" w:hAnsi="Dutch801BT-Bold" w:cs="Dutch801BT-Bold"/>
      <w:sz w:val="24"/>
      <w:szCs w:val="24"/>
    </w:rPr>
  </w:style>
  <w:style w:type="table" w:customStyle="1" w:styleId="TableGrid1">
    <w:name w:val="Table Grid1"/>
    <w:basedOn w:val="TableNormal"/>
    <w:next w:val="TableGrid"/>
    <w:uiPriority w:val="39"/>
    <w:rsid w:val="008865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w:link w:val="Char"/>
    <w:rsid w:val="0025306D"/>
    <w:pPr>
      <w:bidi/>
      <w:spacing w:after="100"/>
      <w:jc w:val="both"/>
    </w:pPr>
    <w:rPr>
      <w:rFonts w:ascii="Times New Roman" w:hAnsi="Times New Roman" w:cs="B Nazanin"/>
      <w:sz w:val="24"/>
      <w:szCs w:val="28"/>
      <w:lang w:bidi="fa-IR"/>
    </w:rPr>
  </w:style>
  <w:style w:type="character" w:customStyle="1" w:styleId="Char">
    <w:name w:val="متن Char"/>
    <w:link w:val="a"/>
    <w:rsid w:val="0025306D"/>
    <w:rPr>
      <w:rFonts w:ascii="Times New Roman" w:hAnsi="Times New Roman" w:cs="B Nazanin"/>
      <w:sz w:val="24"/>
      <w:szCs w:val="28"/>
      <w:lang w:bidi="fa-IR"/>
    </w:rPr>
  </w:style>
  <w:style w:type="table" w:customStyle="1" w:styleId="TableGrid11">
    <w:name w:val="Table Grid11"/>
    <w:basedOn w:val="TableNormal"/>
    <w:next w:val="TableGrid"/>
    <w:uiPriority w:val="59"/>
    <w:rsid w:val="006A62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2D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F547C6"/>
  </w:style>
  <w:style w:type="table" w:styleId="ListTable4-Accent6">
    <w:name w:val="List Table 4 Accent 6"/>
    <w:basedOn w:val="TableNormal"/>
    <w:uiPriority w:val="42"/>
    <w:rsid w:val="00D025AB"/>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olorfulShading-Accent31">
    <w:name w:val="Colorful Shading - Accent 31"/>
    <w:basedOn w:val="Normal"/>
    <w:uiPriority w:val="34"/>
    <w:rsid w:val="00321AA7"/>
    <w:pPr>
      <w:spacing w:before="200" w:after="0"/>
      <w:ind w:left="720"/>
      <w:contextualSpacing/>
    </w:pPr>
  </w:style>
  <w:style w:type="paragraph" w:styleId="NormalWeb">
    <w:name w:val="Normal (Web)"/>
    <w:basedOn w:val="Normal"/>
    <w:uiPriority w:val="99"/>
    <w:unhideWhenUsed/>
    <w:rsid w:val="00B345F6"/>
    <w:rPr>
      <w:rFonts w:ascii="Times New Roman" w:hAnsi="Times New Roman" w:cs="Times New Roman"/>
      <w:sz w:val="24"/>
      <w:szCs w:val="24"/>
    </w:rPr>
  </w:style>
  <w:style w:type="table" w:styleId="ListTable6Colorful-Accent6">
    <w:name w:val="List Table 6 Colorful Accent 6"/>
    <w:basedOn w:val="TableNormal"/>
    <w:uiPriority w:val="44"/>
    <w:rsid w:val="00496EEF"/>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OCHeading1">
    <w:name w:val="TOC Heading1"/>
    <w:basedOn w:val="TableNormal"/>
    <w:uiPriority w:val="60"/>
    <w:qFormat/>
    <w:rsid w:val="00973F8F"/>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3">
    <w:name w:val="Unresolved Mention3"/>
    <w:uiPriority w:val="99"/>
    <w:semiHidden/>
    <w:unhideWhenUsed/>
    <w:rsid w:val="006F0557"/>
    <w:rPr>
      <w:color w:val="605E5C"/>
      <w:shd w:val="clear" w:color="auto" w:fill="E1DFDD"/>
    </w:rPr>
  </w:style>
  <w:style w:type="character" w:customStyle="1" w:styleId="UnresolvedMention1">
    <w:name w:val="Unresolved Mention1"/>
    <w:uiPriority w:val="99"/>
    <w:rsid w:val="00AA1BB6"/>
    <w:rPr>
      <w:color w:val="605E5C"/>
      <w:shd w:val="clear" w:color="auto" w:fill="E1DFDD"/>
    </w:rPr>
  </w:style>
  <w:style w:type="table" w:customStyle="1" w:styleId="LightGrid3">
    <w:name w:val="Light Grid3"/>
    <w:basedOn w:val="TableNormal"/>
    <w:uiPriority w:val="62"/>
    <w:rsid w:val="00C67ED1"/>
    <w:rPr>
      <w:rFonts w:ascii="Tahoma" w:eastAsia="Times New Roman" w:hAnsi="Tahoma"/>
      <w:sz w:val="24"/>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MS Mincho" w:eastAsia="Times New Roman" w:hAnsi="MS Mincho"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MS Mincho" w:eastAsia="Times New Roman" w:hAnsi="MS Mincho"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Arial"/>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ubtitle">
    <w:name w:val="Subtitle"/>
    <w:basedOn w:val="Normal"/>
    <w:next w:val="Normal"/>
    <w:link w:val="SubtitleChar"/>
    <w:uiPriority w:val="11"/>
    <w:qFormat/>
    <w:rsid w:val="00520E9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20E9F"/>
    <w:rPr>
      <w:rFonts w:asciiTheme="majorHAnsi" w:eastAsiaTheme="majorEastAsia" w:hAnsiTheme="majorHAnsi" w:cstheme="majorBidi"/>
      <w:sz w:val="24"/>
      <w:szCs w:val="24"/>
    </w:rPr>
  </w:style>
  <w:style w:type="character" w:styleId="Emphasis">
    <w:name w:val="Emphasis"/>
    <w:basedOn w:val="DefaultParagraphFont"/>
    <w:uiPriority w:val="20"/>
    <w:qFormat/>
    <w:rsid w:val="00520E9F"/>
    <w:rPr>
      <w:i/>
      <w:iCs/>
    </w:rPr>
  </w:style>
  <w:style w:type="character" w:customStyle="1" w:styleId="UnresolvedMention2">
    <w:name w:val="Unresolved Mention2"/>
    <w:uiPriority w:val="48"/>
    <w:rsid w:val="00D843AF"/>
    <w:rPr>
      <w:color w:val="605E5C"/>
      <w:shd w:val="clear" w:color="auto" w:fill="E1DFDD"/>
    </w:rPr>
  </w:style>
  <w:style w:type="table" w:styleId="ListTable2-Accent2">
    <w:name w:val="List Table 2 Accent 2"/>
    <w:basedOn w:val="TableNormal"/>
    <w:uiPriority w:val="99"/>
    <w:semiHidden/>
    <w:unhideWhenUsed/>
    <w:qFormat/>
    <w:rsid w:val="00D01511"/>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1">
    <w:name w:val="Grid Table 21"/>
    <w:basedOn w:val="TableNormal"/>
    <w:next w:val="ListTable2-Accent2"/>
    <w:uiPriority w:val="47"/>
    <w:rsid w:val="00D01511"/>
    <w:rPr>
      <w:rFonts w:ascii="Times New Roman" w:hAnsi="Times New Roman" w:cs="B Nazanin"/>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FollowedHyperlink">
    <w:name w:val="FollowedHyperlink"/>
    <w:uiPriority w:val="99"/>
    <w:semiHidden/>
    <w:unhideWhenUsed/>
    <w:rsid w:val="0017450F"/>
    <w:rPr>
      <w:color w:val="954F72"/>
      <w:u w:val="single"/>
    </w:rPr>
  </w:style>
  <w:style w:type="character" w:customStyle="1" w:styleId="UnresolvedMention4">
    <w:name w:val="Unresolved Mention4"/>
    <w:uiPriority w:val="51"/>
    <w:rsid w:val="003F5F58"/>
    <w:rPr>
      <w:color w:val="605E5C"/>
      <w:shd w:val="clear" w:color="auto" w:fill="E1DFDD"/>
    </w:rPr>
  </w:style>
  <w:style w:type="paragraph" w:styleId="Caption">
    <w:name w:val="caption"/>
    <w:basedOn w:val="Normal"/>
    <w:next w:val="Normal"/>
    <w:uiPriority w:val="35"/>
    <w:unhideWhenUsed/>
    <w:qFormat/>
    <w:rsid w:val="00520E9F"/>
    <w:pPr>
      <w:spacing w:line="240" w:lineRule="auto"/>
    </w:pPr>
    <w:rPr>
      <w:b/>
      <w:bCs/>
      <w:smallCaps/>
      <w:color w:val="595959" w:themeColor="text1" w:themeTint="A6"/>
      <w:spacing w:val="6"/>
    </w:rPr>
  </w:style>
  <w:style w:type="character" w:customStyle="1" w:styleId="html-italic">
    <w:name w:val="html-italic"/>
    <w:rsid w:val="003F5F31"/>
  </w:style>
  <w:style w:type="character" w:customStyle="1" w:styleId="u-visually-hidden">
    <w:name w:val="u-visually-hidden"/>
    <w:rsid w:val="003F5F31"/>
  </w:style>
  <w:style w:type="character" w:customStyle="1" w:styleId="FootnoteTextChar">
    <w:name w:val="Footnote Text Char"/>
    <w:link w:val="FootnoteText"/>
    <w:uiPriority w:val="99"/>
    <w:rsid w:val="003F5F31"/>
    <w:rPr>
      <w:rFonts w:eastAsia="Times New Roman" w:cs="Times New Roman"/>
    </w:rPr>
  </w:style>
  <w:style w:type="paragraph" w:styleId="FootnoteText">
    <w:name w:val="footnote text"/>
    <w:basedOn w:val="Normal"/>
    <w:link w:val="FootnoteTextChar"/>
    <w:uiPriority w:val="99"/>
    <w:unhideWhenUsed/>
    <w:rsid w:val="003F5F31"/>
    <w:pPr>
      <w:spacing w:after="0" w:line="240" w:lineRule="auto"/>
    </w:pPr>
    <w:rPr>
      <w:rFonts w:eastAsia="Times New Roman" w:cs="Times New Roman"/>
      <w:lang w:val="x-none" w:eastAsia="x-none"/>
    </w:rPr>
  </w:style>
  <w:style w:type="character" w:customStyle="1" w:styleId="cit">
    <w:name w:val="cit"/>
    <w:rsid w:val="003F5F31"/>
  </w:style>
  <w:style w:type="character" w:customStyle="1" w:styleId="fm-vol-iss-date">
    <w:name w:val="fm-vol-iss-date"/>
    <w:rsid w:val="003F5F31"/>
  </w:style>
  <w:style w:type="character" w:customStyle="1" w:styleId="doi">
    <w:name w:val="doi"/>
    <w:rsid w:val="003F5F31"/>
  </w:style>
  <w:style w:type="character" w:customStyle="1" w:styleId="ui-ncbitoggler-master-text">
    <w:name w:val="ui-ncbitoggler-master-text"/>
    <w:rsid w:val="003F5F31"/>
  </w:style>
  <w:style w:type="paragraph" w:customStyle="1" w:styleId="EndNoteBibliographyTitle">
    <w:name w:val="EndNote Bibliography Title"/>
    <w:basedOn w:val="Normal"/>
    <w:link w:val="EndNoteBibliographyTitleChar"/>
    <w:rsid w:val="003F5F31"/>
    <w:pPr>
      <w:spacing w:after="0" w:line="259" w:lineRule="auto"/>
      <w:jc w:val="center"/>
    </w:pPr>
    <w:rPr>
      <w:rFonts w:ascii="Calibri" w:hAnsi="Calibri" w:cs="Calibri"/>
      <w:noProof/>
      <w:lang w:val="x-none" w:eastAsia="x-none"/>
    </w:rPr>
  </w:style>
  <w:style w:type="character" w:customStyle="1" w:styleId="EndNoteBibliographyTitleChar">
    <w:name w:val="EndNote Bibliography Title Char"/>
    <w:link w:val="EndNoteBibliographyTitle"/>
    <w:rsid w:val="003F5F31"/>
    <w:rPr>
      <w:rFonts w:ascii="Calibri" w:hAnsi="Calibri" w:cs="Calibri"/>
      <w:noProof/>
      <w:lang w:val="x-none" w:eastAsia="x-none"/>
    </w:rPr>
  </w:style>
  <w:style w:type="paragraph" w:customStyle="1" w:styleId="EndNoteBibliography">
    <w:name w:val="EndNote Bibliography"/>
    <w:basedOn w:val="Normal"/>
    <w:link w:val="EndNoteBibliographyChar"/>
    <w:rsid w:val="003F5F31"/>
    <w:pPr>
      <w:spacing w:after="160" w:line="240" w:lineRule="auto"/>
    </w:pPr>
    <w:rPr>
      <w:rFonts w:ascii="Calibri" w:hAnsi="Calibri" w:cs="Calibri"/>
      <w:noProof/>
      <w:lang w:val="x-none" w:eastAsia="x-none"/>
    </w:rPr>
  </w:style>
  <w:style w:type="character" w:customStyle="1" w:styleId="EndNoteBibliographyChar">
    <w:name w:val="EndNote Bibliography Char"/>
    <w:link w:val="EndNoteBibliography"/>
    <w:rsid w:val="003F5F31"/>
    <w:rPr>
      <w:rFonts w:ascii="Calibri" w:hAnsi="Calibri" w:cs="Calibri"/>
      <w:noProof/>
      <w:lang w:val="x-none" w:eastAsia="x-none"/>
    </w:rPr>
  </w:style>
  <w:style w:type="character" w:styleId="FootnoteReference">
    <w:name w:val="footnote reference"/>
    <w:uiPriority w:val="99"/>
    <w:semiHidden/>
    <w:unhideWhenUsed/>
    <w:rsid w:val="008963B1"/>
    <w:rPr>
      <w:vertAlign w:val="superscript"/>
    </w:rPr>
  </w:style>
  <w:style w:type="table" w:customStyle="1" w:styleId="ListTable311">
    <w:name w:val="List Table 311"/>
    <w:basedOn w:val="TableNormal"/>
    <w:uiPriority w:val="48"/>
    <w:rsid w:val="0009455F"/>
    <w:rPr>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GridTable3-Accent2">
    <w:name w:val="Grid Table 3 Accent 2"/>
    <w:basedOn w:val="TableNormal"/>
    <w:uiPriority w:val="99"/>
    <w:qFormat/>
    <w:rsid w:val="009F6A39"/>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Heading4Char">
    <w:name w:val="Heading 4 Char"/>
    <w:basedOn w:val="DefaultParagraphFont"/>
    <w:link w:val="Heading4"/>
    <w:uiPriority w:val="9"/>
    <w:rsid w:val="00520E9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520E9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520E9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rsid w:val="00520E9F"/>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rsid w:val="00520E9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rsid w:val="00520E9F"/>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520E9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520E9F"/>
    <w:rPr>
      <w:rFonts w:asciiTheme="majorHAnsi" w:eastAsiaTheme="majorEastAsia" w:hAnsiTheme="majorHAnsi" w:cstheme="majorBidi"/>
      <w:color w:val="4472C4" w:themeColor="accent1"/>
      <w:spacing w:val="-10"/>
      <w:sz w:val="56"/>
      <w:szCs w:val="56"/>
    </w:rPr>
  </w:style>
  <w:style w:type="paragraph" w:customStyle="1" w:styleId="MediumGrid1-Accent31">
    <w:name w:val="Medium Grid 1 - Accent 31"/>
    <w:link w:val="MediumGrid1-Accent3Char"/>
    <w:uiPriority w:val="1"/>
    <w:rsid w:val="00937877"/>
    <w:pPr>
      <w:jc w:val="both"/>
    </w:pPr>
    <w:rPr>
      <w:rFonts w:ascii="Times New Roman" w:hAnsi="Times New Roman" w:cs="Times New Roman"/>
    </w:rPr>
  </w:style>
  <w:style w:type="paragraph" w:customStyle="1" w:styleId="LightList-Accent51">
    <w:name w:val="Light List - Accent 51"/>
    <w:basedOn w:val="Normal"/>
    <w:uiPriority w:val="34"/>
    <w:rsid w:val="00937877"/>
    <w:pPr>
      <w:spacing w:after="160" w:line="259" w:lineRule="auto"/>
      <w:ind w:left="720"/>
      <w:contextualSpacing/>
    </w:pPr>
    <w:rPr>
      <w:rFonts w:ascii="Times New Roman" w:hAnsi="Times New Roman" w:cs="Times New Roman"/>
    </w:rPr>
  </w:style>
  <w:style w:type="paragraph" w:customStyle="1" w:styleId="LightGrid-Accent51">
    <w:name w:val="Light Grid - Accent 51"/>
    <w:basedOn w:val="Normal"/>
    <w:next w:val="Normal"/>
    <w:link w:val="LightGrid-Accent5Char"/>
    <w:uiPriority w:val="29"/>
    <w:rsid w:val="00937877"/>
    <w:pPr>
      <w:spacing w:after="160" w:line="259" w:lineRule="auto"/>
    </w:pPr>
    <w:rPr>
      <w:rFonts w:ascii="Times New Roman" w:hAnsi="Times New Roman" w:cs="Times New Roman"/>
      <w:i/>
      <w:iCs/>
      <w:lang w:val="x-none" w:eastAsia="x-none"/>
    </w:rPr>
  </w:style>
  <w:style w:type="character" w:customStyle="1" w:styleId="LightGrid-Accent5Char">
    <w:name w:val="Light Grid - Accent 5 Char"/>
    <w:link w:val="LightGrid-Accent51"/>
    <w:uiPriority w:val="29"/>
    <w:rsid w:val="00937877"/>
    <w:rPr>
      <w:rFonts w:ascii="Times New Roman" w:hAnsi="Times New Roman" w:cs="Times New Roman"/>
      <w:i/>
      <w:iCs/>
    </w:rPr>
  </w:style>
  <w:style w:type="paragraph" w:customStyle="1" w:styleId="MediumShading1-Accent51">
    <w:name w:val="Medium Shading 1 - Accent 51"/>
    <w:basedOn w:val="Normal"/>
    <w:next w:val="Normal"/>
    <w:link w:val="MediumShading1-Accent5Char"/>
    <w:uiPriority w:val="30"/>
    <w:rsid w:val="00937877"/>
    <w:pPr>
      <w:pBdr>
        <w:top w:val="single" w:sz="8" w:space="1" w:color="70AD47"/>
      </w:pBdr>
      <w:spacing w:before="140" w:after="140" w:line="259" w:lineRule="auto"/>
      <w:ind w:left="1440" w:right="1440"/>
    </w:pPr>
    <w:rPr>
      <w:rFonts w:ascii="Times New Roman" w:hAnsi="Times New Roman" w:cs="Times New Roman"/>
      <w:b/>
      <w:bCs/>
      <w:i/>
      <w:iCs/>
      <w:lang w:val="x-none" w:eastAsia="x-none"/>
    </w:rPr>
  </w:style>
  <w:style w:type="character" w:customStyle="1" w:styleId="MediumShading1-Accent5Char">
    <w:name w:val="Medium Shading 1 - Accent 5 Char"/>
    <w:link w:val="MediumShading1-Accent51"/>
    <w:uiPriority w:val="30"/>
    <w:rsid w:val="00937877"/>
    <w:rPr>
      <w:rFonts w:ascii="Times New Roman" w:hAnsi="Times New Roman" w:cs="Times New Roman"/>
      <w:b/>
      <w:bCs/>
      <w:i/>
      <w:iCs/>
    </w:rPr>
  </w:style>
  <w:style w:type="character" w:customStyle="1" w:styleId="GridTable1Light-Accent22">
    <w:name w:val="Grid Table 1 Light - Accent 22"/>
    <w:uiPriority w:val="19"/>
    <w:rsid w:val="00937877"/>
    <w:rPr>
      <w:i/>
      <w:iCs/>
    </w:rPr>
  </w:style>
  <w:style w:type="character" w:customStyle="1" w:styleId="GridTable2-Accent21">
    <w:name w:val="Grid Table 2 - Accent 21"/>
    <w:uiPriority w:val="21"/>
    <w:rsid w:val="00937877"/>
    <w:rPr>
      <w:b/>
      <w:bCs/>
      <w:i/>
      <w:iCs/>
      <w:color w:val="70AD47"/>
      <w:spacing w:val="10"/>
    </w:rPr>
  </w:style>
  <w:style w:type="character" w:customStyle="1" w:styleId="GridTable3-Accent21">
    <w:name w:val="Grid Table 3 - Accent 21"/>
    <w:uiPriority w:val="31"/>
    <w:rsid w:val="00937877"/>
    <w:rPr>
      <w:b/>
      <w:bCs/>
    </w:rPr>
  </w:style>
  <w:style w:type="character" w:customStyle="1" w:styleId="GridTable4-Accent21">
    <w:name w:val="Grid Table 4 - Accent 21"/>
    <w:uiPriority w:val="32"/>
    <w:rsid w:val="00937877"/>
    <w:rPr>
      <w:b/>
      <w:bCs/>
      <w:smallCaps/>
      <w:spacing w:val="5"/>
      <w:sz w:val="22"/>
      <w:szCs w:val="22"/>
      <w:u w:val="single"/>
    </w:rPr>
  </w:style>
  <w:style w:type="character" w:customStyle="1" w:styleId="GridTable5Dark-Accent21">
    <w:name w:val="Grid Table 5 Dark - Accent 21"/>
    <w:uiPriority w:val="33"/>
    <w:rsid w:val="00937877"/>
    <w:rPr>
      <w:rFonts w:ascii="Calibri Light" w:eastAsia="SimSun" w:hAnsi="Calibri Light" w:cs="Times New Roman"/>
      <w:i/>
      <w:iCs/>
      <w:sz w:val="20"/>
      <w:szCs w:val="20"/>
    </w:rPr>
  </w:style>
  <w:style w:type="paragraph" w:customStyle="1" w:styleId="GridTable7Colorful-Accent21">
    <w:name w:val="Grid Table 7 Colorful - Accent 21"/>
    <w:basedOn w:val="Heading1"/>
    <w:next w:val="Normal"/>
    <w:uiPriority w:val="39"/>
    <w:semiHidden/>
    <w:unhideWhenUsed/>
    <w:rsid w:val="00937877"/>
    <w:pPr>
      <w:keepNext w:val="0"/>
      <w:spacing w:before="300" w:after="40" w:line="259" w:lineRule="auto"/>
      <w:outlineLvl w:val="9"/>
    </w:pPr>
    <w:rPr>
      <w:rFonts w:ascii="Times New Roman" w:eastAsia="Calibri" w:hAnsi="Times New Roman"/>
      <w:b/>
      <w:bCs/>
      <w:smallCaps/>
      <w:spacing w:val="5"/>
    </w:rPr>
  </w:style>
  <w:style w:type="paragraph" w:styleId="BodyTextIndent">
    <w:name w:val="Body Text Indent"/>
    <w:basedOn w:val="Normal"/>
    <w:link w:val="BodyTextIndentChar"/>
    <w:unhideWhenUsed/>
    <w:rsid w:val="00937877"/>
    <w:pPr>
      <w:spacing w:after="0" w:line="360" w:lineRule="auto"/>
      <w:ind w:firstLine="720"/>
    </w:pPr>
    <w:rPr>
      <w:rFonts w:ascii="Times New Roman" w:eastAsia="Batang" w:hAnsi="Times New Roman" w:cs="Times New Roman"/>
      <w:sz w:val="24"/>
      <w:szCs w:val="24"/>
      <w:lang w:val="x-none" w:eastAsia="x-none"/>
    </w:rPr>
  </w:style>
  <w:style w:type="character" w:customStyle="1" w:styleId="BodyTextIndentChar">
    <w:name w:val="Body Text Indent Char"/>
    <w:link w:val="BodyTextIndent"/>
    <w:rsid w:val="00937877"/>
    <w:rPr>
      <w:rFonts w:ascii="Times New Roman" w:eastAsia="Batang" w:hAnsi="Times New Roman" w:cs="Times New Roman"/>
      <w:sz w:val="24"/>
      <w:szCs w:val="24"/>
    </w:rPr>
  </w:style>
  <w:style w:type="paragraph" w:styleId="EndnoteText">
    <w:name w:val="endnote text"/>
    <w:basedOn w:val="Normal"/>
    <w:link w:val="EndnoteTextChar"/>
    <w:uiPriority w:val="99"/>
    <w:semiHidden/>
    <w:unhideWhenUsed/>
    <w:rsid w:val="00937877"/>
    <w:pPr>
      <w:spacing w:after="0" w:line="240" w:lineRule="auto"/>
    </w:pPr>
    <w:rPr>
      <w:rFonts w:ascii="Times New Roman" w:hAnsi="Times New Roman" w:cs="Times New Roman"/>
      <w:lang w:val="x-none" w:eastAsia="x-none"/>
    </w:rPr>
  </w:style>
  <w:style w:type="character" w:customStyle="1" w:styleId="EndnoteTextChar">
    <w:name w:val="Endnote Text Char"/>
    <w:link w:val="EndnoteText"/>
    <w:uiPriority w:val="99"/>
    <w:semiHidden/>
    <w:rsid w:val="00937877"/>
    <w:rPr>
      <w:rFonts w:ascii="Times New Roman" w:hAnsi="Times New Roman" w:cs="Times New Roman"/>
    </w:rPr>
  </w:style>
  <w:style w:type="character" w:styleId="EndnoteReference">
    <w:name w:val="endnote reference"/>
    <w:uiPriority w:val="99"/>
    <w:semiHidden/>
    <w:unhideWhenUsed/>
    <w:rsid w:val="00937877"/>
    <w:rPr>
      <w:vertAlign w:val="superscript"/>
    </w:rPr>
  </w:style>
  <w:style w:type="table" w:styleId="GridTable6Colorful-Accent5">
    <w:name w:val="Grid Table 6 Colorful Accent 5"/>
    <w:basedOn w:val="TableNormal"/>
    <w:uiPriority w:val="42"/>
    <w:rsid w:val="00937877"/>
    <w:rPr>
      <w:rFonts w:ascii="Times New Roman" w:hAnsi="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ediumList2-Accent31">
    <w:name w:val="Medium List 2 - Accent 31"/>
    <w:uiPriority w:val="99"/>
    <w:semiHidden/>
    <w:rsid w:val="00937877"/>
    <w:rPr>
      <w:color w:val="808080"/>
    </w:rPr>
  </w:style>
  <w:style w:type="paragraph" w:customStyle="1" w:styleId="MDPI11articletype">
    <w:name w:val="MDPI_1.1_article_type"/>
    <w:basedOn w:val="MDPI31text"/>
    <w:next w:val="MDPI12title"/>
    <w:rsid w:val="00D34E4E"/>
    <w:pPr>
      <w:spacing w:before="240" w:line="240" w:lineRule="auto"/>
      <w:ind w:firstLine="0"/>
      <w:jc w:val="left"/>
    </w:pPr>
    <w:rPr>
      <w:i/>
    </w:rPr>
  </w:style>
  <w:style w:type="paragraph" w:customStyle="1" w:styleId="MDPI12title">
    <w:name w:val="MDPI_1.2_title"/>
    <w:next w:val="MDPI13authornames"/>
    <w:rsid w:val="00D34E4E"/>
    <w:pPr>
      <w:adjustRightInd w:val="0"/>
      <w:snapToGrid w:val="0"/>
      <w:spacing w:after="240" w:line="400" w:lineRule="exact"/>
    </w:pPr>
    <w:rPr>
      <w:rFonts w:ascii="Palatino Linotype" w:eastAsia="Times New Roman" w:hAnsi="Palatino Linotype" w:cs="Times New Roman"/>
      <w:b/>
      <w:snapToGrid w:val="0"/>
      <w:color w:val="000000"/>
      <w:sz w:val="36"/>
      <w:lang w:eastAsia="de-DE" w:bidi="en-US"/>
    </w:rPr>
  </w:style>
  <w:style w:type="paragraph" w:customStyle="1" w:styleId="MDPI13authornames">
    <w:name w:val="MDPI_1.3_authornames"/>
    <w:basedOn w:val="MDPI31text"/>
    <w:next w:val="MDPI14history"/>
    <w:rsid w:val="00D34E4E"/>
    <w:pPr>
      <w:ind w:firstLine="0"/>
      <w:jc w:val="left"/>
    </w:pPr>
    <w:rPr>
      <w:b/>
      <w:snapToGrid/>
    </w:rPr>
  </w:style>
  <w:style w:type="paragraph" w:customStyle="1" w:styleId="MDPI14history">
    <w:name w:val="MDPI_1.4_history"/>
    <w:basedOn w:val="MDPI62Acknowledgments"/>
    <w:next w:val="Normal"/>
    <w:rsid w:val="00D34E4E"/>
    <w:pPr>
      <w:ind w:left="113"/>
      <w:jc w:val="left"/>
    </w:pPr>
    <w:rPr>
      <w:snapToGrid/>
    </w:rPr>
  </w:style>
  <w:style w:type="paragraph" w:customStyle="1" w:styleId="MDPI16affiliation">
    <w:name w:val="MDPI_1.6_affiliation"/>
    <w:basedOn w:val="MDPI62Acknowledgments"/>
    <w:rsid w:val="00D34E4E"/>
    <w:pPr>
      <w:spacing w:before="0"/>
      <w:ind w:left="311" w:hanging="198"/>
      <w:jc w:val="left"/>
    </w:pPr>
    <w:rPr>
      <w:snapToGrid/>
      <w:szCs w:val="18"/>
    </w:rPr>
  </w:style>
  <w:style w:type="paragraph" w:customStyle="1" w:styleId="MDPI17abstract">
    <w:name w:val="MDPI_1.7_abstract"/>
    <w:basedOn w:val="MDPI31text"/>
    <w:next w:val="MDPI18keywords"/>
    <w:rsid w:val="00D34E4E"/>
    <w:pPr>
      <w:spacing w:before="240"/>
      <w:ind w:left="113" w:firstLine="0"/>
    </w:pPr>
    <w:rPr>
      <w:snapToGrid/>
    </w:rPr>
  </w:style>
  <w:style w:type="paragraph" w:customStyle="1" w:styleId="MDPI18keywords">
    <w:name w:val="MDPI_1.8_keywords"/>
    <w:basedOn w:val="MDPI31text"/>
    <w:next w:val="Normal"/>
    <w:rsid w:val="00D34E4E"/>
    <w:pPr>
      <w:spacing w:before="240"/>
      <w:ind w:left="113" w:firstLine="0"/>
    </w:pPr>
  </w:style>
  <w:style w:type="paragraph" w:customStyle="1" w:styleId="MDPI19line">
    <w:name w:val="MDPI_1.9_line"/>
    <w:basedOn w:val="MDPI31text"/>
    <w:rsid w:val="00D34E4E"/>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D34E4E"/>
    <w:pPr>
      <w:adjustRightInd w:val="0"/>
      <w:snapToGrid w:val="0"/>
      <w:spacing w:line="300" w:lineRule="exact"/>
      <w:jc w:val="center"/>
    </w:pPr>
    <w:rPr>
      <w:rFonts w:ascii="Times New Roman" w:eastAsia="SimSun" w:hAnsi="Times New Roman" w:cs="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rsid w:val="00D34E4E"/>
    <w:pPr>
      <w:adjustRightInd w:val="0"/>
      <w:snapToGrid w:val="0"/>
    </w:pPr>
    <w:rPr>
      <w:rFonts w:ascii="Palatino Linotype" w:eastAsia="Times New Roman" w:hAnsi="Palatino Linotype" w:cs="Times New Roman"/>
      <w:i/>
      <w:color w:val="000000"/>
      <w:sz w:val="24"/>
      <w:szCs w:val="22"/>
      <w:lang w:eastAsia="de-CH"/>
    </w:rPr>
  </w:style>
  <w:style w:type="paragraph" w:customStyle="1" w:styleId="MDPI32textnoindent">
    <w:name w:val="MDPI_3.2_text_no_indent"/>
    <w:basedOn w:val="MDPI31text"/>
    <w:rsid w:val="00D34E4E"/>
    <w:pPr>
      <w:ind w:firstLine="0"/>
    </w:pPr>
  </w:style>
  <w:style w:type="paragraph" w:customStyle="1" w:styleId="MDPI33textspaceafter">
    <w:name w:val="MDPI_3.3_text_space_after"/>
    <w:basedOn w:val="MDPI31text"/>
    <w:rsid w:val="00D34E4E"/>
    <w:pPr>
      <w:spacing w:after="240"/>
    </w:pPr>
  </w:style>
  <w:style w:type="paragraph" w:customStyle="1" w:styleId="MDPI34textspacebefore">
    <w:name w:val="MDPI_3.4_text_space_before"/>
    <w:basedOn w:val="MDPI31text"/>
    <w:rsid w:val="00D34E4E"/>
    <w:pPr>
      <w:spacing w:before="240"/>
    </w:pPr>
  </w:style>
  <w:style w:type="paragraph" w:customStyle="1" w:styleId="MDPI35textbeforelist">
    <w:name w:val="MDPI_3.5_text_before_list"/>
    <w:basedOn w:val="MDPI31text"/>
    <w:rsid w:val="00D34E4E"/>
  </w:style>
  <w:style w:type="paragraph" w:customStyle="1" w:styleId="MDPI36textafterlist">
    <w:name w:val="MDPI_3.6_text_after_list"/>
    <w:basedOn w:val="MDPI31text"/>
    <w:rsid w:val="00D34E4E"/>
    <w:pPr>
      <w:spacing w:before="120"/>
    </w:pPr>
  </w:style>
  <w:style w:type="paragraph" w:customStyle="1" w:styleId="MDPI37itemize">
    <w:name w:val="MDPI_3.7_itemize"/>
    <w:basedOn w:val="MDPI31text"/>
    <w:rsid w:val="00D34E4E"/>
    <w:pPr>
      <w:numPr>
        <w:numId w:val="1"/>
      </w:numPr>
      <w:ind w:left="425" w:hanging="425"/>
    </w:pPr>
  </w:style>
  <w:style w:type="paragraph" w:customStyle="1" w:styleId="MDPI38bullet">
    <w:name w:val="MDPI_3.8_bullet"/>
    <w:basedOn w:val="MDPI31text"/>
    <w:rsid w:val="00D34E4E"/>
    <w:pPr>
      <w:numPr>
        <w:numId w:val="2"/>
      </w:numPr>
      <w:ind w:left="425" w:hanging="425"/>
    </w:pPr>
  </w:style>
  <w:style w:type="paragraph" w:customStyle="1" w:styleId="MDPI39equation">
    <w:name w:val="MDPI_3.9_equation"/>
    <w:basedOn w:val="MDPI31text"/>
    <w:rsid w:val="00D34E4E"/>
    <w:pPr>
      <w:spacing w:before="120"/>
      <w:ind w:left="709" w:firstLine="0"/>
      <w:jc w:val="center"/>
    </w:pPr>
  </w:style>
  <w:style w:type="paragraph" w:customStyle="1" w:styleId="MDPI3aequationnumber">
    <w:name w:val="MDPI_3.a_equation_number"/>
    <w:basedOn w:val="MDPI31text"/>
    <w:rsid w:val="00D34E4E"/>
    <w:pPr>
      <w:spacing w:before="120" w:line="240" w:lineRule="auto"/>
      <w:ind w:firstLine="0"/>
      <w:jc w:val="right"/>
    </w:pPr>
  </w:style>
  <w:style w:type="paragraph" w:customStyle="1" w:styleId="MDPI62Acknowledgments">
    <w:name w:val="MDPI_6.2_Acknowledgments"/>
    <w:rsid w:val="00D34E4E"/>
    <w:pPr>
      <w:adjustRightInd w:val="0"/>
      <w:snapToGrid w:val="0"/>
      <w:spacing w:before="120" w:line="200" w:lineRule="atLeast"/>
      <w:jc w:val="both"/>
    </w:pPr>
    <w:rPr>
      <w:rFonts w:ascii="Palatino Linotype" w:eastAsia="Times New Roman" w:hAnsi="Palatino Linotype" w:cs="Times New Roman"/>
      <w:snapToGrid w:val="0"/>
      <w:color w:val="000000"/>
      <w:sz w:val="18"/>
      <w:lang w:eastAsia="de-DE" w:bidi="en-US"/>
    </w:rPr>
  </w:style>
  <w:style w:type="paragraph" w:customStyle="1" w:styleId="MDPI41tablecaption">
    <w:name w:val="MDPI_4.1_table_caption"/>
    <w:basedOn w:val="MDPI62Acknowledgments"/>
    <w:rsid w:val="00D34E4E"/>
    <w:pPr>
      <w:spacing w:before="240" w:line="260" w:lineRule="atLeast"/>
      <w:ind w:left="425" w:right="425"/>
    </w:pPr>
    <w:rPr>
      <w:snapToGrid/>
      <w:szCs w:val="22"/>
    </w:rPr>
  </w:style>
  <w:style w:type="paragraph" w:customStyle="1" w:styleId="MDPI42tablebody">
    <w:name w:val="MDPI_4.2_table_body"/>
    <w:rsid w:val="00D34E4E"/>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paragraph" w:customStyle="1" w:styleId="MDPI43tablefooter">
    <w:name w:val="MDPI_4.3_table_footer"/>
    <w:basedOn w:val="MDPI41tablecaption"/>
    <w:next w:val="MDPI31text"/>
    <w:rsid w:val="00D34E4E"/>
    <w:pPr>
      <w:spacing w:before="0"/>
      <w:ind w:left="0" w:right="0"/>
    </w:pPr>
  </w:style>
  <w:style w:type="paragraph" w:customStyle="1" w:styleId="MDPI51figurecaption">
    <w:name w:val="MDPI_5.1_figure_caption"/>
    <w:basedOn w:val="MDPI62Acknowledgments"/>
    <w:rsid w:val="00D34E4E"/>
    <w:pPr>
      <w:spacing w:after="240" w:line="260" w:lineRule="atLeast"/>
      <w:ind w:left="425" w:right="425"/>
    </w:pPr>
    <w:rPr>
      <w:snapToGrid/>
    </w:rPr>
  </w:style>
  <w:style w:type="paragraph" w:customStyle="1" w:styleId="MDPI52figure">
    <w:name w:val="MDPI_5.2_figure"/>
    <w:rsid w:val="00D34E4E"/>
    <w:pPr>
      <w:jc w:val="center"/>
    </w:pPr>
    <w:rPr>
      <w:rFonts w:ascii="Palatino Linotype" w:eastAsia="Times New Roman" w:hAnsi="Palatino Linotype" w:cs="Times New Roman"/>
      <w:snapToGrid w:val="0"/>
      <w:color w:val="000000"/>
      <w:sz w:val="24"/>
      <w:lang w:eastAsia="de-DE" w:bidi="en-US"/>
    </w:rPr>
  </w:style>
  <w:style w:type="paragraph" w:customStyle="1" w:styleId="MDPI61Supplementary">
    <w:name w:val="MDPI_6.1_Supplementary"/>
    <w:basedOn w:val="MDPI62Acknowledgments"/>
    <w:rsid w:val="00D34E4E"/>
    <w:pPr>
      <w:spacing w:before="240"/>
    </w:pPr>
    <w:rPr>
      <w:lang w:eastAsia="en-US"/>
    </w:rPr>
  </w:style>
  <w:style w:type="paragraph" w:customStyle="1" w:styleId="MDPI63AuthorContributions">
    <w:name w:val="MDPI_6.3_AuthorContributions"/>
    <w:basedOn w:val="MDPI62Acknowledgments"/>
    <w:rsid w:val="00D34E4E"/>
    <w:rPr>
      <w:rFonts w:eastAsia="SimSun"/>
      <w:color w:val="auto"/>
      <w:lang w:eastAsia="en-US"/>
    </w:rPr>
  </w:style>
  <w:style w:type="paragraph" w:customStyle="1" w:styleId="MDPI64CoI">
    <w:name w:val="MDPI_6.4_CoI"/>
    <w:basedOn w:val="MDPI62Acknowledgments"/>
    <w:rsid w:val="00D34E4E"/>
  </w:style>
  <w:style w:type="paragraph" w:customStyle="1" w:styleId="MDPI81theorem">
    <w:name w:val="MDPI_8.1_theorem"/>
    <w:basedOn w:val="MDPI32textnoindent"/>
    <w:rsid w:val="00D34E4E"/>
    <w:rPr>
      <w:i/>
    </w:rPr>
  </w:style>
  <w:style w:type="paragraph" w:customStyle="1" w:styleId="MDPI82proof">
    <w:name w:val="MDPI_8.2_proof"/>
    <w:basedOn w:val="MDPI32textnoindent"/>
    <w:rsid w:val="00D34E4E"/>
  </w:style>
  <w:style w:type="paragraph" w:customStyle="1" w:styleId="MDPI31text">
    <w:name w:val="MDPI_3.1_text"/>
    <w:rsid w:val="00D34E4E"/>
    <w:pPr>
      <w:adjustRightInd w:val="0"/>
      <w:snapToGrid w:val="0"/>
      <w:spacing w:line="260" w:lineRule="atLeast"/>
      <w:ind w:firstLine="425"/>
      <w:jc w:val="both"/>
    </w:pPr>
    <w:rPr>
      <w:rFonts w:ascii="Palatino Linotype" w:eastAsia="Times New Roman" w:hAnsi="Palatino Linotype" w:cs="Times New Roman"/>
      <w:snapToGrid w:val="0"/>
      <w:color w:val="000000"/>
      <w:szCs w:val="22"/>
      <w:lang w:eastAsia="de-DE" w:bidi="en-US"/>
    </w:rPr>
  </w:style>
  <w:style w:type="paragraph" w:customStyle="1" w:styleId="MDPI23heading3">
    <w:name w:val="MDPI_2.3_heading3"/>
    <w:basedOn w:val="MDPI31text"/>
    <w:rsid w:val="00D34E4E"/>
    <w:pPr>
      <w:spacing w:before="240"/>
      <w:ind w:firstLine="0"/>
      <w:jc w:val="left"/>
      <w:outlineLvl w:val="2"/>
    </w:pPr>
  </w:style>
  <w:style w:type="paragraph" w:customStyle="1" w:styleId="MDPI21heading1">
    <w:name w:val="MDPI_2.1_heading1"/>
    <w:basedOn w:val="MDPI23heading3"/>
    <w:rsid w:val="00D34E4E"/>
    <w:pPr>
      <w:outlineLvl w:val="0"/>
    </w:pPr>
    <w:rPr>
      <w:b/>
    </w:rPr>
  </w:style>
  <w:style w:type="paragraph" w:customStyle="1" w:styleId="MDPI22heading2">
    <w:name w:val="MDPI_2.2_heading2"/>
    <w:basedOn w:val="Normal"/>
    <w:rsid w:val="00D34E4E"/>
    <w:pPr>
      <w:kinsoku w:val="0"/>
      <w:overflowPunct w:val="0"/>
      <w:autoSpaceDE w:val="0"/>
      <w:autoSpaceDN w:val="0"/>
      <w:adjustRightInd w:val="0"/>
      <w:snapToGrid w:val="0"/>
      <w:spacing w:before="240" w:line="260" w:lineRule="atLeast"/>
      <w:outlineLvl w:val="1"/>
    </w:pPr>
    <w:rPr>
      <w:rFonts w:ascii="Palatino Linotype" w:eastAsia="Times New Roman" w:hAnsi="Palatino Linotype" w:cs="Times New Roman"/>
      <w:i/>
      <w:noProof/>
      <w:snapToGrid w:val="0"/>
      <w:color w:val="000000"/>
      <w:lang w:eastAsia="de-DE" w:bidi="en-US"/>
    </w:rPr>
  </w:style>
  <w:style w:type="paragraph" w:customStyle="1" w:styleId="MDPI71References">
    <w:name w:val="MDPI_7.1_References"/>
    <w:basedOn w:val="MDPI62Acknowledgments"/>
    <w:rsid w:val="00D34E4E"/>
    <w:pPr>
      <w:numPr>
        <w:numId w:val="3"/>
      </w:numPr>
      <w:spacing w:before="0" w:line="260" w:lineRule="atLeast"/>
      <w:ind w:left="425" w:hanging="425"/>
    </w:pPr>
  </w:style>
  <w:style w:type="character" w:styleId="LineNumber">
    <w:name w:val="line number"/>
    <w:uiPriority w:val="99"/>
    <w:semiHidden/>
    <w:unhideWhenUsed/>
    <w:rsid w:val="00D34E4E"/>
  </w:style>
  <w:style w:type="table" w:customStyle="1" w:styleId="MDPI41threelinetable">
    <w:name w:val="MDPI_4.1_three_line_table"/>
    <w:basedOn w:val="TableNormal"/>
    <w:uiPriority w:val="99"/>
    <w:rsid w:val="00D34E4E"/>
    <w:pPr>
      <w:adjustRightInd w:val="0"/>
      <w:snapToGrid w:val="0"/>
      <w:jc w:val="center"/>
    </w:pPr>
    <w:rPr>
      <w:rFonts w:ascii="Palatino Linotype" w:eastAsia="SimSun" w:hAnsi="Palatino Linotype" w:cs="Times New Roman"/>
      <w:color w:val="000000"/>
    </w:rPr>
    <w:tblPr>
      <w:jc w:val="center"/>
      <w:tblBorders>
        <w:top w:val="single" w:sz="8" w:space="0" w:color="auto"/>
        <w:bottom w:val="single" w:sz="8" w:space="0" w:color="auto"/>
      </w:tblBorders>
    </w:tblPr>
    <w:trPr>
      <w:jc w:val="center"/>
    </w:trPr>
    <w:tcPr>
      <w:vAlign w:val="center"/>
    </w:tcPr>
    <w:tblStylePr w:type="firstRow">
      <w:rPr>
        <w:rFonts w:ascii="SimSun" w:hAnsi="SimSun"/>
        <w:b/>
        <w:i w:val="0"/>
        <w:sz w:val="20"/>
      </w:rPr>
      <w:tblPr/>
      <w:tcPr>
        <w:tcBorders>
          <w:bottom w:val="single" w:sz="4" w:space="0" w:color="auto"/>
        </w:tcBorders>
      </w:tcPr>
    </w:tblStylePr>
  </w:style>
  <w:style w:type="table" w:customStyle="1" w:styleId="PlainTable41">
    <w:name w:val="Plain Table 41"/>
    <w:basedOn w:val="TableNormal"/>
    <w:uiPriority w:val="44"/>
    <w:rsid w:val="00D34E4E"/>
    <w:rPr>
      <w:rFonts w:eastAsia="SimSun"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diumGrid1-Accent3Char">
    <w:name w:val="Medium Grid 1 - Accent 3 Char"/>
    <w:link w:val="MediumGrid1-Accent31"/>
    <w:uiPriority w:val="1"/>
    <w:locked/>
    <w:rsid w:val="00D34E4E"/>
    <w:rPr>
      <w:rFonts w:ascii="Times New Roman" w:hAnsi="Times New Roman" w:cs="Times New Roman"/>
      <w:lang w:val="en-US" w:eastAsia="en-US" w:bidi="ar-SA"/>
    </w:rPr>
  </w:style>
  <w:style w:type="character" w:customStyle="1" w:styleId="st">
    <w:name w:val="st"/>
    <w:rsid w:val="00D34E4E"/>
  </w:style>
  <w:style w:type="character" w:styleId="HTMLCite">
    <w:name w:val="HTML Cite"/>
    <w:uiPriority w:val="99"/>
    <w:semiHidden/>
    <w:unhideWhenUsed/>
    <w:rsid w:val="00D34E4E"/>
    <w:rPr>
      <w:i/>
      <w:iCs/>
    </w:rPr>
  </w:style>
  <w:style w:type="character" w:customStyle="1" w:styleId="label">
    <w:name w:val="label"/>
    <w:rsid w:val="00D34E4E"/>
  </w:style>
  <w:style w:type="paragraph" w:customStyle="1" w:styleId="LightShading-Accent51">
    <w:name w:val="Light Shading - Accent 51"/>
    <w:hidden/>
    <w:uiPriority w:val="99"/>
    <w:semiHidden/>
    <w:rsid w:val="00D34E4E"/>
    <w:rPr>
      <w:rFonts w:ascii="Times New Roman" w:eastAsia="Times New Roman" w:hAnsi="Times New Roman" w:cs="Times New Roman"/>
      <w:color w:val="000000"/>
      <w:sz w:val="24"/>
      <w:lang w:eastAsia="de-DE"/>
    </w:rPr>
  </w:style>
  <w:style w:type="table" w:styleId="PlainTable1">
    <w:name w:val="Plain Table 1"/>
    <w:basedOn w:val="TableNormal"/>
    <w:uiPriority w:val="99"/>
    <w:semiHidden/>
    <w:unhideWhenUsed/>
    <w:rsid w:val="007A713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PlainTable22">
    <w:name w:val="Plain Table 22"/>
    <w:basedOn w:val="TableNormal"/>
    <w:next w:val="GridTable6Colorful-Accent5"/>
    <w:uiPriority w:val="42"/>
    <w:rsid w:val="00B921FA"/>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
    <w:name w:val="Table Grid12"/>
    <w:basedOn w:val="TableNormal"/>
    <w:next w:val="TableGrid"/>
    <w:uiPriority w:val="59"/>
    <w:rsid w:val="00D423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423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52"/>
    <w:rsid w:val="00835954"/>
    <w:rPr>
      <w:color w:val="605E5C"/>
      <w:shd w:val="clear" w:color="auto" w:fill="E1DFDD"/>
    </w:rPr>
  </w:style>
  <w:style w:type="table" w:customStyle="1" w:styleId="TableGrid3">
    <w:name w:val="Table Grid3"/>
    <w:basedOn w:val="TableNormal"/>
    <w:next w:val="TableGrid"/>
    <w:uiPriority w:val="59"/>
    <w:rsid w:val="00EA39EE"/>
    <w:rPr>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1">
    <w:name w:val="Unresolved Mention41"/>
    <w:uiPriority w:val="52"/>
    <w:rsid w:val="00012E81"/>
    <w:rPr>
      <w:color w:val="605E5C"/>
      <w:shd w:val="clear" w:color="auto" w:fill="E1DFDD"/>
    </w:rPr>
  </w:style>
  <w:style w:type="table" w:styleId="LightShading">
    <w:name w:val="Light Shading"/>
    <w:basedOn w:val="TableNormal"/>
    <w:uiPriority w:val="60"/>
    <w:unhideWhenUsed/>
    <w:rsid w:val="000B086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99"/>
    <w:semiHidden/>
    <w:unhideWhenUsed/>
    <w:rsid w:val="006F3798"/>
  </w:style>
  <w:style w:type="character" w:customStyle="1" w:styleId="BodyTextChar">
    <w:name w:val="Body Text Char"/>
    <w:link w:val="BodyText"/>
    <w:uiPriority w:val="99"/>
    <w:semiHidden/>
    <w:rsid w:val="006F3798"/>
    <w:rPr>
      <w:sz w:val="22"/>
      <w:szCs w:val="22"/>
    </w:rPr>
  </w:style>
  <w:style w:type="table" w:customStyle="1" w:styleId="TableGrid13">
    <w:name w:val="Table Grid13"/>
    <w:basedOn w:val="TableNormal"/>
    <w:next w:val="TableGrid"/>
    <w:uiPriority w:val="39"/>
    <w:rsid w:val="00FD04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2A51DD"/>
  </w:style>
  <w:style w:type="paragraph" w:styleId="ListParagraph">
    <w:name w:val="List Paragraph"/>
    <w:basedOn w:val="Normal"/>
    <w:link w:val="ListParagraphChar"/>
    <w:uiPriority w:val="34"/>
    <w:qFormat/>
    <w:rsid w:val="00E00643"/>
    <w:pPr>
      <w:ind w:left="720"/>
      <w:contextualSpacing/>
    </w:pPr>
  </w:style>
  <w:style w:type="table" w:customStyle="1" w:styleId="ListTable4-Accent31">
    <w:name w:val="List Table 4 - Accent 31"/>
    <w:basedOn w:val="TableNormal"/>
    <w:uiPriority w:val="49"/>
    <w:rsid w:val="00EB0A49"/>
    <w:rPr>
      <w:sz w:val="22"/>
      <w:szCs w:val="22"/>
      <w:lang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1">
    <w:name w:val="List Table 21"/>
    <w:basedOn w:val="TableNormal"/>
    <w:uiPriority w:val="47"/>
    <w:rsid w:val="00575864"/>
    <w:rPr>
      <w:sz w:val="22"/>
      <w:szCs w:val="22"/>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5Dark-Accent31">
    <w:name w:val="List Table 5 Dark - Accent 31"/>
    <w:basedOn w:val="TableNormal"/>
    <w:uiPriority w:val="50"/>
    <w:rsid w:val="00D32070"/>
    <w:pPr>
      <w:jc w:val="center"/>
    </w:pPr>
    <w:rPr>
      <w:color w:val="FFFFFF"/>
      <w:sz w:val="22"/>
      <w:szCs w:val="22"/>
    </w:rPr>
    <w:tblPr>
      <w:tblStyleRowBandSize w:val="1"/>
      <w:tblStyleColBandSize w:val="1"/>
    </w:tblPr>
    <w:tcPr>
      <w:shd w:val="clear" w:color="auto" w:fill="A5A5A5"/>
      <w:vAlign w:val="center"/>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BodyB">
    <w:name w:val="Body B"/>
    <w:rsid w:val="0044216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character" w:customStyle="1" w:styleId="None">
    <w:name w:val="None"/>
    <w:rsid w:val="00442165"/>
  </w:style>
  <w:style w:type="character" w:customStyle="1" w:styleId="jlqj4b">
    <w:name w:val="jlqj4b"/>
    <w:basedOn w:val="DefaultParagraphFont"/>
    <w:rsid w:val="001B22B0"/>
  </w:style>
  <w:style w:type="character" w:customStyle="1" w:styleId="viiyi">
    <w:name w:val="viiyi"/>
    <w:basedOn w:val="DefaultParagraphFont"/>
    <w:rsid w:val="00A4785B"/>
  </w:style>
  <w:style w:type="paragraph" w:styleId="NoSpacing">
    <w:name w:val="No Spacing"/>
    <w:uiPriority w:val="1"/>
    <w:qFormat/>
    <w:rsid w:val="00520E9F"/>
    <w:pPr>
      <w:spacing w:after="0" w:line="240" w:lineRule="auto"/>
    </w:pPr>
  </w:style>
  <w:style w:type="paragraph" w:styleId="Quote">
    <w:name w:val="Quote"/>
    <w:basedOn w:val="Normal"/>
    <w:next w:val="Normal"/>
    <w:link w:val="QuoteChar"/>
    <w:uiPriority w:val="29"/>
    <w:qFormat/>
    <w:rsid w:val="00520E9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20E9F"/>
    <w:rPr>
      <w:i/>
      <w:iCs/>
      <w:color w:val="404040" w:themeColor="text1" w:themeTint="BF"/>
    </w:rPr>
  </w:style>
  <w:style w:type="paragraph" w:styleId="IntenseQuote">
    <w:name w:val="Intense Quote"/>
    <w:basedOn w:val="Normal"/>
    <w:next w:val="Normal"/>
    <w:link w:val="IntenseQuoteChar"/>
    <w:uiPriority w:val="30"/>
    <w:qFormat/>
    <w:rsid w:val="00520E9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520E9F"/>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520E9F"/>
    <w:rPr>
      <w:i/>
      <w:iCs/>
      <w:color w:val="404040" w:themeColor="text1" w:themeTint="BF"/>
    </w:rPr>
  </w:style>
  <w:style w:type="character" w:styleId="IntenseEmphasis">
    <w:name w:val="Intense Emphasis"/>
    <w:basedOn w:val="DefaultParagraphFont"/>
    <w:uiPriority w:val="21"/>
    <w:qFormat/>
    <w:rsid w:val="00520E9F"/>
    <w:rPr>
      <w:b/>
      <w:bCs/>
      <w:i/>
      <w:iCs/>
    </w:rPr>
  </w:style>
  <w:style w:type="character" w:styleId="SubtleReference">
    <w:name w:val="Subtle Reference"/>
    <w:basedOn w:val="DefaultParagraphFont"/>
    <w:uiPriority w:val="31"/>
    <w:qFormat/>
    <w:rsid w:val="00520E9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20E9F"/>
    <w:rPr>
      <w:b/>
      <w:bCs/>
      <w:smallCaps/>
      <w:spacing w:val="5"/>
      <w:u w:val="single"/>
    </w:rPr>
  </w:style>
  <w:style w:type="character" w:styleId="BookTitle">
    <w:name w:val="Book Title"/>
    <w:basedOn w:val="DefaultParagraphFont"/>
    <w:uiPriority w:val="33"/>
    <w:qFormat/>
    <w:rsid w:val="00520E9F"/>
    <w:rPr>
      <w:b/>
      <w:bCs/>
      <w:smallCaps/>
    </w:rPr>
  </w:style>
  <w:style w:type="paragraph" w:styleId="TOCHeading">
    <w:name w:val="TOC Heading"/>
    <w:basedOn w:val="Heading1"/>
    <w:next w:val="Normal"/>
    <w:uiPriority w:val="39"/>
    <w:unhideWhenUsed/>
    <w:qFormat/>
    <w:rsid w:val="00520E9F"/>
    <w:pPr>
      <w:outlineLvl w:val="9"/>
    </w:pPr>
  </w:style>
  <w:style w:type="character" w:customStyle="1" w:styleId="ListParagraphChar">
    <w:name w:val="List Paragraph Char"/>
    <w:link w:val="ListParagraph"/>
    <w:uiPriority w:val="34"/>
    <w:rsid w:val="000D397A"/>
  </w:style>
  <w:style w:type="paragraph" w:customStyle="1" w:styleId="a0">
    <w:name w:val="منابع"/>
    <w:basedOn w:val="Normal"/>
    <w:link w:val="Char0"/>
    <w:uiPriority w:val="9"/>
    <w:rsid w:val="00855AB3"/>
    <w:pPr>
      <w:spacing w:after="0" w:line="240" w:lineRule="auto"/>
    </w:pPr>
    <w:rPr>
      <w:rFonts w:ascii="Times New Roman" w:eastAsiaTheme="minorHAnsi" w:hAnsi="Times New Roman" w:cs="B Nazanin"/>
      <w:color w:val="000000" w:themeColor="text1"/>
    </w:rPr>
  </w:style>
  <w:style w:type="character" w:customStyle="1" w:styleId="Char0">
    <w:name w:val="منابع Char"/>
    <w:basedOn w:val="DefaultParagraphFont"/>
    <w:link w:val="a0"/>
    <w:uiPriority w:val="9"/>
    <w:rsid w:val="00855AB3"/>
    <w:rPr>
      <w:rFonts w:ascii="Times New Roman" w:eastAsiaTheme="minorHAnsi" w:hAnsi="Times New Roman" w:cs="B Nazanin"/>
      <w:color w:val="000000" w:themeColor="text1"/>
    </w:rPr>
  </w:style>
  <w:style w:type="character" w:customStyle="1" w:styleId="markedcontent">
    <w:name w:val="markedcontent"/>
    <w:basedOn w:val="DefaultParagraphFont"/>
    <w:rsid w:val="00855AB3"/>
  </w:style>
  <w:style w:type="character" w:customStyle="1" w:styleId="UnresolvedMention6">
    <w:name w:val="Unresolved Mention6"/>
    <w:basedOn w:val="DefaultParagraphFont"/>
    <w:uiPriority w:val="99"/>
    <w:semiHidden/>
    <w:unhideWhenUsed/>
    <w:rsid w:val="00F85748"/>
    <w:rPr>
      <w:color w:val="605E5C"/>
      <w:shd w:val="clear" w:color="auto" w:fill="E1DFDD"/>
    </w:rPr>
  </w:style>
  <w:style w:type="table" w:styleId="ListTable6Colorful">
    <w:name w:val="List Table 6 Colorful"/>
    <w:basedOn w:val="TableNormal"/>
    <w:uiPriority w:val="51"/>
    <w:rsid w:val="00F85748"/>
    <w:pPr>
      <w:spacing w:after="0" w:line="240" w:lineRule="auto"/>
    </w:pPr>
    <w:rPr>
      <w:rFonts w:eastAsiaTheme="minorHAns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
    <w:name w:val="جدول عادي 21"/>
    <w:basedOn w:val="TableNormal"/>
    <w:uiPriority w:val="42"/>
    <w:rsid w:val="000B7461"/>
    <w:pPr>
      <w:spacing w:after="0" w:line="240" w:lineRule="auto"/>
    </w:pPr>
    <w:rPr>
      <w:rFonts w:eastAsiaTheme="minorHAns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2078BD"/>
    <w:pPr>
      <w:spacing w:after="0" w:line="240" w:lineRule="auto"/>
    </w:pPr>
    <w:rPr>
      <w:rFonts w:ascii="Times New Roman" w:eastAsia="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ls-body-text">
    <w:name w:val="Els-body-text"/>
    <w:rsid w:val="002F56EF"/>
    <w:pPr>
      <w:keepNext/>
      <w:spacing w:after="0" w:line="240" w:lineRule="exact"/>
      <w:ind w:firstLine="238"/>
      <w:jc w:val="both"/>
    </w:pPr>
    <w:rPr>
      <w:rFonts w:ascii="Times New Roman" w:eastAsia="Times New Roman" w:hAnsi="Times New Roman" w:cs="Times New Roman"/>
    </w:rPr>
  </w:style>
  <w:style w:type="paragraph" w:customStyle="1" w:styleId="Tabletitle">
    <w:name w:val="Table title"/>
    <w:basedOn w:val="Normal"/>
    <w:next w:val="Normal"/>
    <w:qFormat/>
    <w:rsid w:val="00F94724"/>
    <w:pPr>
      <w:spacing w:before="240" w:after="0" w:line="360" w:lineRule="auto"/>
    </w:pPr>
    <w:rPr>
      <w:rFonts w:ascii="Times New Roman" w:eastAsia="Times New Roman" w:hAnsi="Times New Roman" w:cs="Times New Roman"/>
      <w:sz w:val="24"/>
      <w:szCs w:val="24"/>
      <w:lang w:val="en-GB" w:eastAsia="en-GB"/>
    </w:rPr>
  </w:style>
  <w:style w:type="paragraph" w:customStyle="1" w:styleId="Newparagraph">
    <w:name w:val="New paragraph"/>
    <w:basedOn w:val="Normal"/>
    <w:qFormat/>
    <w:rsid w:val="00F94724"/>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Figurecaption">
    <w:name w:val="Figure caption"/>
    <w:basedOn w:val="Normal"/>
    <w:next w:val="Normal"/>
    <w:qFormat/>
    <w:rsid w:val="000E2FF6"/>
    <w:pPr>
      <w:spacing w:before="240" w:after="0" w:line="360" w:lineRule="auto"/>
    </w:pPr>
    <w:rPr>
      <w:rFonts w:ascii="Times New Roman" w:eastAsia="Times New Roman" w:hAnsi="Times New Roman" w:cs="Times New Roman"/>
      <w:sz w:val="24"/>
      <w:szCs w:val="24"/>
      <w:lang w:val="en-GB" w:eastAsia="en-GB"/>
    </w:rPr>
  </w:style>
  <w:style w:type="table" w:styleId="PlainTable4">
    <w:name w:val="Plain Table 4"/>
    <w:basedOn w:val="TableNormal"/>
    <w:uiPriority w:val="44"/>
    <w:rsid w:val="0047316F"/>
    <w:pPr>
      <w:spacing w:after="0" w:line="240" w:lineRule="auto"/>
      <w:ind w:firstLine="284"/>
      <w:jc w:val="both"/>
    </w:pPr>
    <w:rPr>
      <w:rFonts w:eastAsia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ynqvb">
    <w:name w:val="rynqvb"/>
    <w:basedOn w:val="DefaultParagraphFont"/>
    <w:rsid w:val="00D25AE4"/>
  </w:style>
  <w:style w:type="table" w:styleId="LightList">
    <w:name w:val="Light List"/>
    <w:basedOn w:val="TableNormal"/>
    <w:uiPriority w:val="61"/>
    <w:rsid w:val="00D25AE4"/>
    <w:pPr>
      <w:spacing w:after="0" w:line="240" w:lineRule="auto"/>
    </w:pPr>
    <w:rPr>
      <w:rFonts w:eastAsiaTheme="minorHAnsi"/>
      <w:sz w:val="22"/>
      <w:szCs w:val="22"/>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jzur5c">
    <w:name w:val="jzur5c"/>
    <w:basedOn w:val="DefaultParagraphFont"/>
    <w:rsid w:val="004E28E1"/>
  </w:style>
  <w:style w:type="table" w:customStyle="1" w:styleId="PlainTable213">
    <w:name w:val="Plain Table 213"/>
    <w:basedOn w:val="TableNormal"/>
    <w:uiPriority w:val="42"/>
    <w:rsid w:val="007F5B7B"/>
    <w:pPr>
      <w:spacing w:after="0" w:line="240" w:lineRule="auto"/>
    </w:pPr>
    <w:rPr>
      <w:rFonts w:eastAsia="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LightGrid-Accent3">
    <w:name w:val="Light Grid Accent 3"/>
    <w:basedOn w:val="TableNormal"/>
    <w:uiPriority w:val="62"/>
    <w:rsid w:val="00DC347A"/>
    <w:pPr>
      <w:spacing w:after="0" w:line="240" w:lineRule="auto"/>
    </w:pPr>
    <w:rPr>
      <w:rFonts w:eastAsiaTheme="minorHAns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A7">
    <w:name w:val="A7"/>
    <w:uiPriority w:val="99"/>
    <w:rsid w:val="00791015"/>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9771">
      <w:bodyDiv w:val="1"/>
      <w:marLeft w:val="0"/>
      <w:marRight w:val="0"/>
      <w:marTop w:val="0"/>
      <w:marBottom w:val="0"/>
      <w:divBdr>
        <w:top w:val="none" w:sz="0" w:space="0" w:color="auto"/>
        <w:left w:val="none" w:sz="0" w:space="0" w:color="auto"/>
        <w:bottom w:val="none" w:sz="0" w:space="0" w:color="auto"/>
        <w:right w:val="none" w:sz="0" w:space="0" w:color="auto"/>
      </w:divBdr>
    </w:div>
    <w:div w:id="44531074">
      <w:bodyDiv w:val="1"/>
      <w:marLeft w:val="0"/>
      <w:marRight w:val="0"/>
      <w:marTop w:val="0"/>
      <w:marBottom w:val="0"/>
      <w:divBdr>
        <w:top w:val="none" w:sz="0" w:space="0" w:color="auto"/>
        <w:left w:val="none" w:sz="0" w:space="0" w:color="auto"/>
        <w:bottom w:val="none" w:sz="0" w:space="0" w:color="auto"/>
        <w:right w:val="none" w:sz="0" w:space="0" w:color="auto"/>
      </w:divBdr>
    </w:div>
    <w:div w:id="91172045">
      <w:bodyDiv w:val="1"/>
      <w:marLeft w:val="0"/>
      <w:marRight w:val="0"/>
      <w:marTop w:val="0"/>
      <w:marBottom w:val="0"/>
      <w:divBdr>
        <w:top w:val="none" w:sz="0" w:space="0" w:color="auto"/>
        <w:left w:val="none" w:sz="0" w:space="0" w:color="auto"/>
        <w:bottom w:val="none" w:sz="0" w:space="0" w:color="auto"/>
        <w:right w:val="none" w:sz="0" w:space="0" w:color="auto"/>
      </w:divBdr>
    </w:div>
    <w:div w:id="139347195">
      <w:bodyDiv w:val="1"/>
      <w:marLeft w:val="0"/>
      <w:marRight w:val="0"/>
      <w:marTop w:val="0"/>
      <w:marBottom w:val="0"/>
      <w:divBdr>
        <w:top w:val="none" w:sz="0" w:space="0" w:color="auto"/>
        <w:left w:val="none" w:sz="0" w:space="0" w:color="auto"/>
        <w:bottom w:val="none" w:sz="0" w:space="0" w:color="auto"/>
        <w:right w:val="none" w:sz="0" w:space="0" w:color="auto"/>
      </w:divBdr>
    </w:div>
    <w:div w:id="157700158">
      <w:bodyDiv w:val="1"/>
      <w:marLeft w:val="0"/>
      <w:marRight w:val="0"/>
      <w:marTop w:val="0"/>
      <w:marBottom w:val="0"/>
      <w:divBdr>
        <w:top w:val="none" w:sz="0" w:space="0" w:color="auto"/>
        <w:left w:val="none" w:sz="0" w:space="0" w:color="auto"/>
        <w:bottom w:val="none" w:sz="0" w:space="0" w:color="auto"/>
        <w:right w:val="none" w:sz="0" w:space="0" w:color="auto"/>
      </w:divBdr>
    </w:div>
    <w:div w:id="209461803">
      <w:bodyDiv w:val="1"/>
      <w:marLeft w:val="0"/>
      <w:marRight w:val="0"/>
      <w:marTop w:val="0"/>
      <w:marBottom w:val="0"/>
      <w:divBdr>
        <w:top w:val="none" w:sz="0" w:space="0" w:color="auto"/>
        <w:left w:val="none" w:sz="0" w:space="0" w:color="auto"/>
        <w:bottom w:val="none" w:sz="0" w:space="0" w:color="auto"/>
        <w:right w:val="none" w:sz="0" w:space="0" w:color="auto"/>
      </w:divBdr>
      <w:divsChild>
        <w:div w:id="170024867">
          <w:marLeft w:val="0"/>
          <w:marRight w:val="0"/>
          <w:marTop w:val="0"/>
          <w:marBottom w:val="0"/>
          <w:divBdr>
            <w:top w:val="none" w:sz="0" w:space="0" w:color="auto"/>
            <w:left w:val="none" w:sz="0" w:space="0" w:color="auto"/>
            <w:bottom w:val="none" w:sz="0" w:space="0" w:color="auto"/>
            <w:right w:val="none" w:sz="0" w:space="0" w:color="auto"/>
          </w:divBdr>
        </w:div>
        <w:div w:id="185798259">
          <w:marLeft w:val="0"/>
          <w:marRight w:val="0"/>
          <w:marTop w:val="0"/>
          <w:marBottom w:val="0"/>
          <w:divBdr>
            <w:top w:val="none" w:sz="0" w:space="0" w:color="auto"/>
            <w:left w:val="none" w:sz="0" w:space="0" w:color="auto"/>
            <w:bottom w:val="none" w:sz="0" w:space="0" w:color="auto"/>
            <w:right w:val="none" w:sz="0" w:space="0" w:color="auto"/>
          </w:divBdr>
        </w:div>
        <w:div w:id="1005867624">
          <w:marLeft w:val="0"/>
          <w:marRight w:val="0"/>
          <w:marTop w:val="0"/>
          <w:marBottom w:val="0"/>
          <w:divBdr>
            <w:top w:val="none" w:sz="0" w:space="0" w:color="auto"/>
            <w:left w:val="none" w:sz="0" w:space="0" w:color="auto"/>
            <w:bottom w:val="none" w:sz="0" w:space="0" w:color="auto"/>
            <w:right w:val="none" w:sz="0" w:space="0" w:color="auto"/>
          </w:divBdr>
        </w:div>
        <w:div w:id="1396660632">
          <w:marLeft w:val="0"/>
          <w:marRight w:val="0"/>
          <w:marTop w:val="0"/>
          <w:marBottom w:val="0"/>
          <w:divBdr>
            <w:top w:val="none" w:sz="0" w:space="0" w:color="auto"/>
            <w:left w:val="none" w:sz="0" w:space="0" w:color="auto"/>
            <w:bottom w:val="none" w:sz="0" w:space="0" w:color="auto"/>
            <w:right w:val="none" w:sz="0" w:space="0" w:color="auto"/>
          </w:divBdr>
        </w:div>
        <w:div w:id="1750542205">
          <w:marLeft w:val="0"/>
          <w:marRight w:val="0"/>
          <w:marTop w:val="0"/>
          <w:marBottom w:val="0"/>
          <w:divBdr>
            <w:top w:val="none" w:sz="0" w:space="0" w:color="auto"/>
            <w:left w:val="none" w:sz="0" w:space="0" w:color="auto"/>
            <w:bottom w:val="none" w:sz="0" w:space="0" w:color="auto"/>
            <w:right w:val="none" w:sz="0" w:space="0" w:color="auto"/>
          </w:divBdr>
        </w:div>
        <w:div w:id="1908106170">
          <w:marLeft w:val="0"/>
          <w:marRight w:val="0"/>
          <w:marTop w:val="0"/>
          <w:marBottom w:val="0"/>
          <w:divBdr>
            <w:top w:val="none" w:sz="0" w:space="0" w:color="auto"/>
            <w:left w:val="none" w:sz="0" w:space="0" w:color="auto"/>
            <w:bottom w:val="none" w:sz="0" w:space="0" w:color="auto"/>
            <w:right w:val="none" w:sz="0" w:space="0" w:color="auto"/>
          </w:divBdr>
        </w:div>
        <w:div w:id="2017225928">
          <w:marLeft w:val="0"/>
          <w:marRight w:val="0"/>
          <w:marTop w:val="0"/>
          <w:marBottom w:val="0"/>
          <w:divBdr>
            <w:top w:val="none" w:sz="0" w:space="0" w:color="auto"/>
            <w:left w:val="none" w:sz="0" w:space="0" w:color="auto"/>
            <w:bottom w:val="none" w:sz="0" w:space="0" w:color="auto"/>
            <w:right w:val="none" w:sz="0" w:space="0" w:color="auto"/>
          </w:divBdr>
        </w:div>
      </w:divsChild>
    </w:div>
    <w:div w:id="277875492">
      <w:bodyDiv w:val="1"/>
      <w:marLeft w:val="0"/>
      <w:marRight w:val="0"/>
      <w:marTop w:val="0"/>
      <w:marBottom w:val="0"/>
      <w:divBdr>
        <w:top w:val="none" w:sz="0" w:space="0" w:color="auto"/>
        <w:left w:val="none" w:sz="0" w:space="0" w:color="auto"/>
        <w:bottom w:val="none" w:sz="0" w:space="0" w:color="auto"/>
        <w:right w:val="none" w:sz="0" w:space="0" w:color="auto"/>
      </w:divBdr>
    </w:div>
    <w:div w:id="290595079">
      <w:bodyDiv w:val="1"/>
      <w:marLeft w:val="0"/>
      <w:marRight w:val="0"/>
      <w:marTop w:val="0"/>
      <w:marBottom w:val="0"/>
      <w:divBdr>
        <w:top w:val="none" w:sz="0" w:space="0" w:color="auto"/>
        <w:left w:val="none" w:sz="0" w:space="0" w:color="auto"/>
        <w:bottom w:val="none" w:sz="0" w:space="0" w:color="auto"/>
        <w:right w:val="none" w:sz="0" w:space="0" w:color="auto"/>
      </w:divBdr>
    </w:div>
    <w:div w:id="339937724">
      <w:bodyDiv w:val="1"/>
      <w:marLeft w:val="0"/>
      <w:marRight w:val="0"/>
      <w:marTop w:val="0"/>
      <w:marBottom w:val="0"/>
      <w:divBdr>
        <w:top w:val="none" w:sz="0" w:space="0" w:color="auto"/>
        <w:left w:val="none" w:sz="0" w:space="0" w:color="auto"/>
        <w:bottom w:val="none" w:sz="0" w:space="0" w:color="auto"/>
        <w:right w:val="none" w:sz="0" w:space="0" w:color="auto"/>
      </w:divBdr>
    </w:div>
    <w:div w:id="399062951">
      <w:bodyDiv w:val="1"/>
      <w:marLeft w:val="0"/>
      <w:marRight w:val="0"/>
      <w:marTop w:val="0"/>
      <w:marBottom w:val="0"/>
      <w:divBdr>
        <w:top w:val="none" w:sz="0" w:space="0" w:color="auto"/>
        <w:left w:val="none" w:sz="0" w:space="0" w:color="auto"/>
        <w:bottom w:val="none" w:sz="0" w:space="0" w:color="auto"/>
        <w:right w:val="none" w:sz="0" w:space="0" w:color="auto"/>
      </w:divBdr>
    </w:div>
    <w:div w:id="462622694">
      <w:bodyDiv w:val="1"/>
      <w:marLeft w:val="0"/>
      <w:marRight w:val="0"/>
      <w:marTop w:val="0"/>
      <w:marBottom w:val="0"/>
      <w:divBdr>
        <w:top w:val="none" w:sz="0" w:space="0" w:color="auto"/>
        <w:left w:val="none" w:sz="0" w:space="0" w:color="auto"/>
        <w:bottom w:val="none" w:sz="0" w:space="0" w:color="auto"/>
        <w:right w:val="none" w:sz="0" w:space="0" w:color="auto"/>
      </w:divBdr>
    </w:div>
    <w:div w:id="487864365">
      <w:bodyDiv w:val="1"/>
      <w:marLeft w:val="0"/>
      <w:marRight w:val="0"/>
      <w:marTop w:val="0"/>
      <w:marBottom w:val="0"/>
      <w:divBdr>
        <w:top w:val="none" w:sz="0" w:space="0" w:color="auto"/>
        <w:left w:val="none" w:sz="0" w:space="0" w:color="auto"/>
        <w:bottom w:val="none" w:sz="0" w:space="0" w:color="auto"/>
        <w:right w:val="none" w:sz="0" w:space="0" w:color="auto"/>
      </w:divBdr>
    </w:div>
    <w:div w:id="510263611">
      <w:bodyDiv w:val="1"/>
      <w:marLeft w:val="0"/>
      <w:marRight w:val="0"/>
      <w:marTop w:val="0"/>
      <w:marBottom w:val="0"/>
      <w:divBdr>
        <w:top w:val="none" w:sz="0" w:space="0" w:color="auto"/>
        <w:left w:val="none" w:sz="0" w:space="0" w:color="auto"/>
        <w:bottom w:val="none" w:sz="0" w:space="0" w:color="auto"/>
        <w:right w:val="none" w:sz="0" w:space="0" w:color="auto"/>
      </w:divBdr>
    </w:div>
    <w:div w:id="538515234">
      <w:bodyDiv w:val="1"/>
      <w:marLeft w:val="0"/>
      <w:marRight w:val="0"/>
      <w:marTop w:val="0"/>
      <w:marBottom w:val="0"/>
      <w:divBdr>
        <w:top w:val="none" w:sz="0" w:space="0" w:color="auto"/>
        <w:left w:val="none" w:sz="0" w:space="0" w:color="auto"/>
        <w:bottom w:val="none" w:sz="0" w:space="0" w:color="auto"/>
        <w:right w:val="none" w:sz="0" w:space="0" w:color="auto"/>
      </w:divBdr>
    </w:div>
    <w:div w:id="544411713">
      <w:bodyDiv w:val="1"/>
      <w:marLeft w:val="0"/>
      <w:marRight w:val="0"/>
      <w:marTop w:val="0"/>
      <w:marBottom w:val="0"/>
      <w:divBdr>
        <w:top w:val="none" w:sz="0" w:space="0" w:color="auto"/>
        <w:left w:val="none" w:sz="0" w:space="0" w:color="auto"/>
        <w:bottom w:val="none" w:sz="0" w:space="0" w:color="auto"/>
        <w:right w:val="none" w:sz="0" w:space="0" w:color="auto"/>
      </w:divBdr>
    </w:div>
    <w:div w:id="618610354">
      <w:bodyDiv w:val="1"/>
      <w:marLeft w:val="0"/>
      <w:marRight w:val="0"/>
      <w:marTop w:val="0"/>
      <w:marBottom w:val="0"/>
      <w:divBdr>
        <w:top w:val="none" w:sz="0" w:space="0" w:color="auto"/>
        <w:left w:val="none" w:sz="0" w:space="0" w:color="auto"/>
        <w:bottom w:val="none" w:sz="0" w:space="0" w:color="auto"/>
        <w:right w:val="none" w:sz="0" w:space="0" w:color="auto"/>
      </w:divBdr>
    </w:div>
    <w:div w:id="816535024">
      <w:bodyDiv w:val="1"/>
      <w:marLeft w:val="0"/>
      <w:marRight w:val="0"/>
      <w:marTop w:val="0"/>
      <w:marBottom w:val="0"/>
      <w:divBdr>
        <w:top w:val="none" w:sz="0" w:space="0" w:color="auto"/>
        <w:left w:val="none" w:sz="0" w:space="0" w:color="auto"/>
        <w:bottom w:val="none" w:sz="0" w:space="0" w:color="auto"/>
        <w:right w:val="none" w:sz="0" w:space="0" w:color="auto"/>
      </w:divBdr>
      <w:divsChild>
        <w:div w:id="268701990">
          <w:marLeft w:val="0"/>
          <w:marRight w:val="0"/>
          <w:marTop w:val="0"/>
          <w:marBottom w:val="0"/>
          <w:divBdr>
            <w:top w:val="none" w:sz="0" w:space="0" w:color="auto"/>
            <w:left w:val="none" w:sz="0" w:space="0" w:color="auto"/>
            <w:bottom w:val="none" w:sz="0" w:space="0" w:color="auto"/>
            <w:right w:val="none" w:sz="0" w:space="0" w:color="auto"/>
          </w:divBdr>
        </w:div>
        <w:div w:id="305815495">
          <w:marLeft w:val="0"/>
          <w:marRight w:val="0"/>
          <w:marTop w:val="0"/>
          <w:marBottom w:val="0"/>
          <w:divBdr>
            <w:top w:val="none" w:sz="0" w:space="0" w:color="auto"/>
            <w:left w:val="none" w:sz="0" w:space="0" w:color="auto"/>
            <w:bottom w:val="none" w:sz="0" w:space="0" w:color="auto"/>
            <w:right w:val="none" w:sz="0" w:space="0" w:color="auto"/>
          </w:divBdr>
        </w:div>
        <w:div w:id="334461970">
          <w:marLeft w:val="0"/>
          <w:marRight w:val="0"/>
          <w:marTop w:val="0"/>
          <w:marBottom w:val="0"/>
          <w:divBdr>
            <w:top w:val="none" w:sz="0" w:space="0" w:color="auto"/>
            <w:left w:val="none" w:sz="0" w:space="0" w:color="auto"/>
            <w:bottom w:val="none" w:sz="0" w:space="0" w:color="auto"/>
            <w:right w:val="none" w:sz="0" w:space="0" w:color="auto"/>
          </w:divBdr>
        </w:div>
        <w:div w:id="373896337">
          <w:marLeft w:val="0"/>
          <w:marRight w:val="0"/>
          <w:marTop w:val="0"/>
          <w:marBottom w:val="0"/>
          <w:divBdr>
            <w:top w:val="none" w:sz="0" w:space="0" w:color="auto"/>
            <w:left w:val="none" w:sz="0" w:space="0" w:color="auto"/>
            <w:bottom w:val="none" w:sz="0" w:space="0" w:color="auto"/>
            <w:right w:val="none" w:sz="0" w:space="0" w:color="auto"/>
          </w:divBdr>
        </w:div>
        <w:div w:id="790123858">
          <w:marLeft w:val="0"/>
          <w:marRight w:val="0"/>
          <w:marTop w:val="0"/>
          <w:marBottom w:val="0"/>
          <w:divBdr>
            <w:top w:val="none" w:sz="0" w:space="0" w:color="auto"/>
            <w:left w:val="none" w:sz="0" w:space="0" w:color="auto"/>
            <w:bottom w:val="none" w:sz="0" w:space="0" w:color="auto"/>
            <w:right w:val="none" w:sz="0" w:space="0" w:color="auto"/>
          </w:divBdr>
        </w:div>
        <w:div w:id="1473477077">
          <w:marLeft w:val="0"/>
          <w:marRight w:val="0"/>
          <w:marTop w:val="0"/>
          <w:marBottom w:val="0"/>
          <w:divBdr>
            <w:top w:val="none" w:sz="0" w:space="0" w:color="auto"/>
            <w:left w:val="none" w:sz="0" w:space="0" w:color="auto"/>
            <w:bottom w:val="none" w:sz="0" w:space="0" w:color="auto"/>
            <w:right w:val="none" w:sz="0" w:space="0" w:color="auto"/>
          </w:divBdr>
        </w:div>
        <w:div w:id="1514028403">
          <w:marLeft w:val="0"/>
          <w:marRight w:val="0"/>
          <w:marTop w:val="0"/>
          <w:marBottom w:val="0"/>
          <w:divBdr>
            <w:top w:val="none" w:sz="0" w:space="0" w:color="auto"/>
            <w:left w:val="none" w:sz="0" w:space="0" w:color="auto"/>
            <w:bottom w:val="none" w:sz="0" w:space="0" w:color="auto"/>
            <w:right w:val="none" w:sz="0" w:space="0" w:color="auto"/>
          </w:divBdr>
        </w:div>
        <w:div w:id="1554537939">
          <w:marLeft w:val="0"/>
          <w:marRight w:val="0"/>
          <w:marTop w:val="0"/>
          <w:marBottom w:val="0"/>
          <w:divBdr>
            <w:top w:val="none" w:sz="0" w:space="0" w:color="auto"/>
            <w:left w:val="none" w:sz="0" w:space="0" w:color="auto"/>
            <w:bottom w:val="none" w:sz="0" w:space="0" w:color="auto"/>
            <w:right w:val="none" w:sz="0" w:space="0" w:color="auto"/>
          </w:divBdr>
        </w:div>
        <w:div w:id="1721128375">
          <w:marLeft w:val="0"/>
          <w:marRight w:val="0"/>
          <w:marTop w:val="0"/>
          <w:marBottom w:val="0"/>
          <w:divBdr>
            <w:top w:val="none" w:sz="0" w:space="0" w:color="auto"/>
            <w:left w:val="none" w:sz="0" w:space="0" w:color="auto"/>
            <w:bottom w:val="none" w:sz="0" w:space="0" w:color="auto"/>
            <w:right w:val="none" w:sz="0" w:space="0" w:color="auto"/>
          </w:divBdr>
        </w:div>
        <w:div w:id="1733655896">
          <w:marLeft w:val="0"/>
          <w:marRight w:val="0"/>
          <w:marTop w:val="0"/>
          <w:marBottom w:val="0"/>
          <w:divBdr>
            <w:top w:val="none" w:sz="0" w:space="0" w:color="auto"/>
            <w:left w:val="none" w:sz="0" w:space="0" w:color="auto"/>
            <w:bottom w:val="none" w:sz="0" w:space="0" w:color="auto"/>
            <w:right w:val="none" w:sz="0" w:space="0" w:color="auto"/>
          </w:divBdr>
        </w:div>
        <w:div w:id="1977878579">
          <w:marLeft w:val="0"/>
          <w:marRight w:val="0"/>
          <w:marTop w:val="0"/>
          <w:marBottom w:val="0"/>
          <w:divBdr>
            <w:top w:val="none" w:sz="0" w:space="0" w:color="auto"/>
            <w:left w:val="none" w:sz="0" w:space="0" w:color="auto"/>
            <w:bottom w:val="none" w:sz="0" w:space="0" w:color="auto"/>
            <w:right w:val="none" w:sz="0" w:space="0" w:color="auto"/>
          </w:divBdr>
        </w:div>
        <w:div w:id="2006393192">
          <w:marLeft w:val="0"/>
          <w:marRight w:val="0"/>
          <w:marTop w:val="0"/>
          <w:marBottom w:val="0"/>
          <w:divBdr>
            <w:top w:val="none" w:sz="0" w:space="0" w:color="auto"/>
            <w:left w:val="none" w:sz="0" w:space="0" w:color="auto"/>
            <w:bottom w:val="none" w:sz="0" w:space="0" w:color="auto"/>
            <w:right w:val="none" w:sz="0" w:space="0" w:color="auto"/>
          </w:divBdr>
        </w:div>
      </w:divsChild>
    </w:div>
    <w:div w:id="821967681">
      <w:bodyDiv w:val="1"/>
      <w:marLeft w:val="0"/>
      <w:marRight w:val="0"/>
      <w:marTop w:val="0"/>
      <w:marBottom w:val="0"/>
      <w:divBdr>
        <w:top w:val="none" w:sz="0" w:space="0" w:color="auto"/>
        <w:left w:val="none" w:sz="0" w:space="0" w:color="auto"/>
        <w:bottom w:val="none" w:sz="0" w:space="0" w:color="auto"/>
        <w:right w:val="none" w:sz="0" w:space="0" w:color="auto"/>
      </w:divBdr>
    </w:div>
    <w:div w:id="859318643">
      <w:bodyDiv w:val="1"/>
      <w:marLeft w:val="0"/>
      <w:marRight w:val="0"/>
      <w:marTop w:val="0"/>
      <w:marBottom w:val="0"/>
      <w:divBdr>
        <w:top w:val="none" w:sz="0" w:space="0" w:color="auto"/>
        <w:left w:val="none" w:sz="0" w:space="0" w:color="auto"/>
        <w:bottom w:val="none" w:sz="0" w:space="0" w:color="auto"/>
        <w:right w:val="none" w:sz="0" w:space="0" w:color="auto"/>
      </w:divBdr>
      <w:divsChild>
        <w:div w:id="506409616">
          <w:marLeft w:val="0"/>
          <w:marRight w:val="0"/>
          <w:marTop w:val="0"/>
          <w:marBottom w:val="0"/>
          <w:divBdr>
            <w:top w:val="none" w:sz="0" w:space="0" w:color="auto"/>
            <w:left w:val="none" w:sz="0" w:space="0" w:color="auto"/>
            <w:bottom w:val="none" w:sz="0" w:space="0" w:color="auto"/>
            <w:right w:val="none" w:sz="0" w:space="0" w:color="auto"/>
          </w:divBdr>
        </w:div>
        <w:div w:id="1335373695">
          <w:marLeft w:val="0"/>
          <w:marRight w:val="0"/>
          <w:marTop w:val="0"/>
          <w:marBottom w:val="0"/>
          <w:divBdr>
            <w:top w:val="none" w:sz="0" w:space="0" w:color="auto"/>
            <w:left w:val="none" w:sz="0" w:space="0" w:color="auto"/>
            <w:bottom w:val="none" w:sz="0" w:space="0" w:color="auto"/>
            <w:right w:val="none" w:sz="0" w:space="0" w:color="auto"/>
          </w:divBdr>
        </w:div>
        <w:div w:id="1432583446">
          <w:marLeft w:val="0"/>
          <w:marRight w:val="0"/>
          <w:marTop w:val="0"/>
          <w:marBottom w:val="0"/>
          <w:divBdr>
            <w:top w:val="none" w:sz="0" w:space="0" w:color="auto"/>
            <w:left w:val="none" w:sz="0" w:space="0" w:color="auto"/>
            <w:bottom w:val="none" w:sz="0" w:space="0" w:color="auto"/>
            <w:right w:val="none" w:sz="0" w:space="0" w:color="auto"/>
          </w:divBdr>
        </w:div>
        <w:div w:id="1951938618">
          <w:marLeft w:val="0"/>
          <w:marRight w:val="0"/>
          <w:marTop w:val="0"/>
          <w:marBottom w:val="0"/>
          <w:divBdr>
            <w:top w:val="none" w:sz="0" w:space="0" w:color="auto"/>
            <w:left w:val="none" w:sz="0" w:space="0" w:color="auto"/>
            <w:bottom w:val="none" w:sz="0" w:space="0" w:color="auto"/>
            <w:right w:val="none" w:sz="0" w:space="0" w:color="auto"/>
          </w:divBdr>
        </w:div>
      </w:divsChild>
    </w:div>
    <w:div w:id="876085267">
      <w:bodyDiv w:val="1"/>
      <w:marLeft w:val="0"/>
      <w:marRight w:val="0"/>
      <w:marTop w:val="0"/>
      <w:marBottom w:val="0"/>
      <w:divBdr>
        <w:top w:val="none" w:sz="0" w:space="0" w:color="auto"/>
        <w:left w:val="none" w:sz="0" w:space="0" w:color="auto"/>
        <w:bottom w:val="none" w:sz="0" w:space="0" w:color="auto"/>
        <w:right w:val="none" w:sz="0" w:space="0" w:color="auto"/>
      </w:divBdr>
    </w:div>
    <w:div w:id="896404383">
      <w:bodyDiv w:val="1"/>
      <w:marLeft w:val="0"/>
      <w:marRight w:val="0"/>
      <w:marTop w:val="0"/>
      <w:marBottom w:val="0"/>
      <w:divBdr>
        <w:top w:val="none" w:sz="0" w:space="0" w:color="auto"/>
        <w:left w:val="none" w:sz="0" w:space="0" w:color="auto"/>
        <w:bottom w:val="none" w:sz="0" w:space="0" w:color="auto"/>
        <w:right w:val="none" w:sz="0" w:space="0" w:color="auto"/>
      </w:divBdr>
    </w:div>
    <w:div w:id="925766855">
      <w:bodyDiv w:val="1"/>
      <w:marLeft w:val="0"/>
      <w:marRight w:val="0"/>
      <w:marTop w:val="0"/>
      <w:marBottom w:val="0"/>
      <w:divBdr>
        <w:top w:val="none" w:sz="0" w:space="0" w:color="auto"/>
        <w:left w:val="none" w:sz="0" w:space="0" w:color="auto"/>
        <w:bottom w:val="none" w:sz="0" w:space="0" w:color="auto"/>
        <w:right w:val="none" w:sz="0" w:space="0" w:color="auto"/>
      </w:divBdr>
    </w:div>
    <w:div w:id="928806680">
      <w:bodyDiv w:val="1"/>
      <w:marLeft w:val="0"/>
      <w:marRight w:val="0"/>
      <w:marTop w:val="0"/>
      <w:marBottom w:val="0"/>
      <w:divBdr>
        <w:top w:val="none" w:sz="0" w:space="0" w:color="auto"/>
        <w:left w:val="none" w:sz="0" w:space="0" w:color="auto"/>
        <w:bottom w:val="none" w:sz="0" w:space="0" w:color="auto"/>
        <w:right w:val="none" w:sz="0" w:space="0" w:color="auto"/>
      </w:divBdr>
    </w:div>
    <w:div w:id="994380463">
      <w:bodyDiv w:val="1"/>
      <w:marLeft w:val="0"/>
      <w:marRight w:val="0"/>
      <w:marTop w:val="0"/>
      <w:marBottom w:val="0"/>
      <w:divBdr>
        <w:top w:val="none" w:sz="0" w:space="0" w:color="auto"/>
        <w:left w:val="none" w:sz="0" w:space="0" w:color="auto"/>
        <w:bottom w:val="none" w:sz="0" w:space="0" w:color="auto"/>
        <w:right w:val="none" w:sz="0" w:space="0" w:color="auto"/>
      </w:divBdr>
    </w:div>
    <w:div w:id="1004355135">
      <w:bodyDiv w:val="1"/>
      <w:marLeft w:val="0"/>
      <w:marRight w:val="0"/>
      <w:marTop w:val="0"/>
      <w:marBottom w:val="0"/>
      <w:divBdr>
        <w:top w:val="none" w:sz="0" w:space="0" w:color="auto"/>
        <w:left w:val="none" w:sz="0" w:space="0" w:color="auto"/>
        <w:bottom w:val="none" w:sz="0" w:space="0" w:color="auto"/>
        <w:right w:val="none" w:sz="0" w:space="0" w:color="auto"/>
      </w:divBdr>
    </w:div>
    <w:div w:id="1025903437">
      <w:bodyDiv w:val="1"/>
      <w:marLeft w:val="0"/>
      <w:marRight w:val="0"/>
      <w:marTop w:val="0"/>
      <w:marBottom w:val="0"/>
      <w:divBdr>
        <w:top w:val="none" w:sz="0" w:space="0" w:color="auto"/>
        <w:left w:val="none" w:sz="0" w:space="0" w:color="auto"/>
        <w:bottom w:val="none" w:sz="0" w:space="0" w:color="auto"/>
        <w:right w:val="none" w:sz="0" w:space="0" w:color="auto"/>
      </w:divBdr>
    </w:div>
    <w:div w:id="1044257563">
      <w:bodyDiv w:val="1"/>
      <w:marLeft w:val="0"/>
      <w:marRight w:val="0"/>
      <w:marTop w:val="0"/>
      <w:marBottom w:val="0"/>
      <w:divBdr>
        <w:top w:val="none" w:sz="0" w:space="0" w:color="auto"/>
        <w:left w:val="none" w:sz="0" w:space="0" w:color="auto"/>
        <w:bottom w:val="none" w:sz="0" w:space="0" w:color="auto"/>
        <w:right w:val="none" w:sz="0" w:space="0" w:color="auto"/>
      </w:divBdr>
    </w:div>
    <w:div w:id="1072045572">
      <w:bodyDiv w:val="1"/>
      <w:marLeft w:val="0"/>
      <w:marRight w:val="0"/>
      <w:marTop w:val="0"/>
      <w:marBottom w:val="0"/>
      <w:divBdr>
        <w:top w:val="none" w:sz="0" w:space="0" w:color="auto"/>
        <w:left w:val="none" w:sz="0" w:space="0" w:color="auto"/>
        <w:bottom w:val="none" w:sz="0" w:space="0" w:color="auto"/>
        <w:right w:val="none" w:sz="0" w:space="0" w:color="auto"/>
      </w:divBdr>
    </w:div>
    <w:div w:id="1082142943">
      <w:bodyDiv w:val="1"/>
      <w:marLeft w:val="0"/>
      <w:marRight w:val="0"/>
      <w:marTop w:val="0"/>
      <w:marBottom w:val="0"/>
      <w:divBdr>
        <w:top w:val="none" w:sz="0" w:space="0" w:color="auto"/>
        <w:left w:val="none" w:sz="0" w:space="0" w:color="auto"/>
        <w:bottom w:val="none" w:sz="0" w:space="0" w:color="auto"/>
        <w:right w:val="none" w:sz="0" w:space="0" w:color="auto"/>
      </w:divBdr>
    </w:div>
    <w:div w:id="1116413890">
      <w:bodyDiv w:val="1"/>
      <w:marLeft w:val="0"/>
      <w:marRight w:val="0"/>
      <w:marTop w:val="0"/>
      <w:marBottom w:val="0"/>
      <w:divBdr>
        <w:top w:val="none" w:sz="0" w:space="0" w:color="auto"/>
        <w:left w:val="none" w:sz="0" w:space="0" w:color="auto"/>
        <w:bottom w:val="none" w:sz="0" w:space="0" w:color="auto"/>
        <w:right w:val="none" w:sz="0" w:space="0" w:color="auto"/>
      </w:divBdr>
    </w:div>
    <w:div w:id="1159928395">
      <w:bodyDiv w:val="1"/>
      <w:marLeft w:val="0"/>
      <w:marRight w:val="0"/>
      <w:marTop w:val="0"/>
      <w:marBottom w:val="0"/>
      <w:divBdr>
        <w:top w:val="none" w:sz="0" w:space="0" w:color="auto"/>
        <w:left w:val="none" w:sz="0" w:space="0" w:color="auto"/>
        <w:bottom w:val="none" w:sz="0" w:space="0" w:color="auto"/>
        <w:right w:val="none" w:sz="0" w:space="0" w:color="auto"/>
      </w:divBdr>
    </w:div>
    <w:div w:id="1164710050">
      <w:bodyDiv w:val="1"/>
      <w:marLeft w:val="0"/>
      <w:marRight w:val="0"/>
      <w:marTop w:val="0"/>
      <w:marBottom w:val="0"/>
      <w:divBdr>
        <w:top w:val="none" w:sz="0" w:space="0" w:color="auto"/>
        <w:left w:val="none" w:sz="0" w:space="0" w:color="auto"/>
        <w:bottom w:val="none" w:sz="0" w:space="0" w:color="auto"/>
        <w:right w:val="none" w:sz="0" w:space="0" w:color="auto"/>
      </w:divBdr>
    </w:div>
    <w:div w:id="1191647939">
      <w:bodyDiv w:val="1"/>
      <w:marLeft w:val="0"/>
      <w:marRight w:val="0"/>
      <w:marTop w:val="0"/>
      <w:marBottom w:val="0"/>
      <w:divBdr>
        <w:top w:val="none" w:sz="0" w:space="0" w:color="auto"/>
        <w:left w:val="none" w:sz="0" w:space="0" w:color="auto"/>
        <w:bottom w:val="none" w:sz="0" w:space="0" w:color="auto"/>
        <w:right w:val="none" w:sz="0" w:space="0" w:color="auto"/>
      </w:divBdr>
    </w:div>
    <w:div w:id="1230073606">
      <w:bodyDiv w:val="1"/>
      <w:marLeft w:val="0"/>
      <w:marRight w:val="0"/>
      <w:marTop w:val="0"/>
      <w:marBottom w:val="0"/>
      <w:divBdr>
        <w:top w:val="none" w:sz="0" w:space="0" w:color="auto"/>
        <w:left w:val="none" w:sz="0" w:space="0" w:color="auto"/>
        <w:bottom w:val="none" w:sz="0" w:space="0" w:color="auto"/>
        <w:right w:val="none" w:sz="0" w:space="0" w:color="auto"/>
      </w:divBdr>
    </w:div>
    <w:div w:id="1292978547">
      <w:bodyDiv w:val="1"/>
      <w:marLeft w:val="0"/>
      <w:marRight w:val="0"/>
      <w:marTop w:val="0"/>
      <w:marBottom w:val="0"/>
      <w:divBdr>
        <w:top w:val="none" w:sz="0" w:space="0" w:color="auto"/>
        <w:left w:val="none" w:sz="0" w:space="0" w:color="auto"/>
        <w:bottom w:val="none" w:sz="0" w:space="0" w:color="auto"/>
        <w:right w:val="none" w:sz="0" w:space="0" w:color="auto"/>
      </w:divBdr>
    </w:div>
    <w:div w:id="1361392397">
      <w:bodyDiv w:val="1"/>
      <w:marLeft w:val="0"/>
      <w:marRight w:val="0"/>
      <w:marTop w:val="0"/>
      <w:marBottom w:val="0"/>
      <w:divBdr>
        <w:top w:val="none" w:sz="0" w:space="0" w:color="auto"/>
        <w:left w:val="none" w:sz="0" w:space="0" w:color="auto"/>
        <w:bottom w:val="none" w:sz="0" w:space="0" w:color="auto"/>
        <w:right w:val="none" w:sz="0" w:space="0" w:color="auto"/>
      </w:divBdr>
    </w:div>
    <w:div w:id="1371806532">
      <w:bodyDiv w:val="1"/>
      <w:marLeft w:val="0"/>
      <w:marRight w:val="0"/>
      <w:marTop w:val="0"/>
      <w:marBottom w:val="0"/>
      <w:divBdr>
        <w:top w:val="none" w:sz="0" w:space="0" w:color="auto"/>
        <w:left w:val="none" w:sz="0" w:space="0" w:color="auto"/>
        <w:bottom w:val="none" w:sz="0" w:space="0" w:color="auto"/>
        <w:right w:val="none" w:sz="0" w:space="0" w:color="auto"/>
      </w:divBdr>
    </w:div>
    <w:div w:id="1448542893">
      <w:bodyDiv w:val="1"/>
      <w:marLeft w:val="0"/>
      <w:marRight w:val="0"/>
      <w:marTop w:val="0"/>
      <w:marBottom w:val="0"/>
      <w:divBdr>
        <w:top w:val="none" w:sz="0" w:space="0" w:color="auto"/>
        <w:left w:val="none" w:sz="0" w:space="0" w:color="auto"/>
        <w:bottom w:val="none" w:sz="0" w:space="0" w:color="auto"/>
        <w:right w:val="none" w:sz="0" w:space="0" w:color="auto"/>
      </w:divBdr>
    </w:div>
    <w:div w:id="1475179656">
      <w:bodyDiv w:val="1"/>
      <w:marLeft w:val="0"/>
      <w:marRight w:val="0"/>
      <w:marTop w:val="0"/>
      <w:marBottom w:val="0"/>
      <w:divBdr>
        <w:top w:val="none" w:sz="0" w:space="0" w:color="auto"/>
        <w:left w:val="none" w:sz="0" w:space="0" w:color="auto"/>
        <w:bottom w:val="none" w:sz="0" w:space="0" w:color="auto"/>
        <w:right w:val="none" w:sz="0" w:space="0" w:color="auto"/>
      </w:divBdr>
    </w:div>
    <w:div w:id="1487551988">
      <w:bodyDiv w:val="1"/>
      <w:marLeft w:val="0"/>
      <w:marRight w:val="0"/>
      <w:marTop w:val="0"/>
      <w:marBottom w:val="0"/>
      <w:divBdr>
        <w:top w:val="none" w:sz="0" w:space="0" w:color="auto"/>
        <w:left w:val="none" w:sz="0" w:space="0" w:color="auto"/>
        <w:bottom w:val="none" w:sz="0" w:space="0" w:color="auto"/>
        <w:right w:val="none" w:sz="0" w:space="0" w:color="auto"/>
      </w:divBdr>
    </w:div>
    <w:div w:id="1489981941">
      <w:bodyDiv w:val="1"/>
      <w:marLeft w:val="0"/>
      <w:marRight w:val="0"/>
      <w:marTop w:val="0"/>
      <w:marBottom w:val="0"/>
      <w:divBdr>
        <w:top w:val="none" w:sz="0" w:space="0" w:color="auto"/>
        <w:left w:val="none" w:sz="0" w:space="0" w:color="auto"/>
        <w:bottom w:val="none" w:sz="0" w:space="0" w:color="auto"/>
        <w:right w:val="none" w:sz="0" w:space="0" w:color="auto"/>
      </w:divBdr>
    </w:div>
    <w:div w:id="1530340866">
      <w:bodyDiv w:val="1"/>
      <w:marLeft w:val="0"/>
      <w:marRight w:val="0"/>
      <w:marTop w:val="0"/>
      <w:marBottom w:val="0"/>
      <w:divBdr>
        <w:top w:val="none" w:sz="0" w:space="0" w:color="auto"/>
        <w:left w:val="none" w:sz="0" w:space="0" w:color="auto"/>
        <w:bottom w:val="none" w:sz="0" w:space="0" w:color="auto"/>
        <w:right w:val="none" w:sz="0" w:space="0" w:color="auto"/>
      </w:divBdr>
    </w:div>
    <w:div w:id="1586842632">
      <w:bodyDiv w:val="1"/>
      <w:marLeft w:val="0"/>
      <w:marRight w:val="0"/>
      <w:marTop w:val="0"/>
      <w:marBottom w:val="0"/>
      <w:divBdr>
        <w:top w:val="none" w:sz="0" w:space="0" w:color="auto"/>
        <w:left w:val="none" w:sz="0" w:space="0" w:color="auto"/>
        <w:bottom w:val="none" w:sz="0" w:space="0" w:color="auto"/>
        <w:right w:val="none" w:sz="0" w:space="0" w:color="auto"/>
      </w:divBdr>
    </w:div>
    <w:div w:id="1590120685">
      <w:bodyDiv w:val="1"/>
      <w:marLeft w:val="0"/>
      <w:marRight w:val="0"/>
      <w:marTop w:val="0"/>
      <w:marBottom w:val="0"/>
      <w:divBdr>
        <w:top w:val="none" w:sz="0" w:space="0" w:color="auto"/>
        <w:left w:val="none" w:sz="0" w:space="0" w:color="auto"/>
        <w:bottom w:val="none" w:sz="0" w:space="0" w:color="auto"/>
        <w:right w:val="none" w:sz="0" w:space="0" w:color="auto"/>
      </w:divBdr>
    </w:div>
    <w:div w:id="1609968589">
      <w:bodyDiv w:val="1"/>
      <w:marLeft w:val="0"/>
      <w:marRight w:val="0"/>
      <w:marTop w:val="0"/>
      <w:marBottom w:val="0"/>
      <w:divBdr>
        <w:top w:val="none" w:sz="0" w:space="0" w:color="auto"/>
        <w:left w:val="none" w:sz="0" w:space="0" w:color="auto"/>
        <w:bottom w:val="none" w:sz="0" w:space="0" w:color="auto"/>
        <w:right w:val="none" w:sz="0" w:space="0" w:color="auto"/>
      </w:divBdr>
    </w:div>
    <w:div w:id="1628848955">
      <w:bodyDiv w:val="1"/>
      <w:marLeft w:val="0"/>
      <w:marRight w:val="0"/>
      <w:marTop w:val="0"/>
      <w:marBottom w:val="0"/>
      <w:divBdr>
        <w:top w:val="none" w:sz="0" w:space="0" w:color="auto"/>
        <w:left w:val="none" w:sz="0" w:space="0" w:color="auto"/>
        <w:bottom w:val="none" w:sz="0" w:space="0" w:color="auto"/>
        <w:right w:val="none" w:sz="0" w:space="0" w:color="auto"/>
      </w:divBdr>
    </w:div>
    <w:div w:id="1650937269">
      <w:bodyDiv w:val="1"/>
      <w:marLeft w:val="0"/>
      <w:marRight w:val="0"/>
      <w:marTop w:val="0"/>
      <w:marBottom w:val="0"/>
      <w:divBdr>
        <w:top w:val="none" w:sz="0" w:space="0" w:color="auto"/>
        <w:left w:val="none" w:sz="0" w:space="0" w:color="auto"/>
        <w:bottom w:val="none" w:sz="0" w:space="0" w:color="auto"/>
        <w:right w:val="none" w:sz="0" w:space="0" w:color="auto"/>
      </w:divBdr>
    </w:div>
    <w:div w:id="1654605800">
      <w:bodyDiv w:val="1"/>
      <w:marLeft w:val="0"/>
      <w:marRight w:val="0"/>
      <w:marTop w:val="0"/>
      <w:marBottom w:val="0"/>
      <w:divBdr>
        <w:top w:val="none" w:sz="0" w:space="0" w:color="auto"/>
        <w:left w:val="none" w:sz="0" w:space="0" w:color="auto"/>
        <w:bottom w:val="none" w:sz="0" w:space="0" w:color="auto"/>
        <w:right w:val="none" w:sz="0" w:space="0" w:color="auto"/>
      </w:divBdr>
    </w:div>
    <w:div w:id="1657149706">
      <w:bodyDiv w:val="1"/>
      <w:marLeft w:val="0"/>
      <w:marRight w:val="0"/>
      <w:marTop w:val="0"/>
      <w:marBottom w:val="0"/>
      <w:divBdr>
        <w:top w:val="none" w:sz="0" w:space="0" w:color="auto"/>
        <w:left w:val="none" w:sz="0" w:space="0" w:color="auto"/>
        <w:bottom w:val="none" w:sz="0" w:space="0" w:color="auto"/>
        <w:right w:val="none" w:sz="0" w:space="0" w:color="auto"/>
      </w:divBdr>
    </w:div>
    <w:div w:id="1667588803">
      <w:bodyDiv w:val="1"/>
      <w:marLeft w:val="0"/>
      <w:marRight w:val="0"/>
      <w:marTop w:val="0"/>
      <w:marBottom w:val="0"/>
      <w:divBdr>
        <w:top w:val="none" w:sz="0" w:space="0" w:color="auto"/>
        <w:left w:val="none" w:sz="0" w:space="0" w:color="auto"/>
        <w:bottom w:val="none" w:sz="0" w:space="0" w:color="auto"/>
        <w:right w:val="none" w:sz="0" w:space="0" w:color="auto"/>
      </w:divBdr>
    </w:div>
    <w:div w:id="1677734160">
      <w:bodyDiv w:val="1"/>
      <w:marLeft w:val="0"/>
      <w:marRight w:val="0"/>
      <w:marTop w:val="0"/>
      <w:marBottom w:val="0"/>
      <w:divBdr>
        <w:top w:val="none" w:sz="0" w:space="0" w:color="auto"/>
        <w:left w:val="none" w:sz="0" w:space="0" w:color="auto"/>
        <w:bottom w:val="none" w:sz="0" w:space="0" w:color="auto"/>
        <w:right w:val="none" w:sz="0" w:space="0" w:color="auto"/>
      </w:divBdr>
    </w:div>
    <w:div w:id="1684086814">
      <w:bodyDiv w:val="1"/>
      <w:marLeft w:val="0"/>
      <w:marRight w:val="0"/>
      <w:marTop w:val="0"/>
      <w:marBottom w:val="0"/>
      <w:divBdr>
        <w:top w:val="none" w:sz="0" w:space="0" w:color="auto"/>
        <w:left w:val="none" w:sz="0" w:space="0" w:color="auto"/>
        <w:bottom w:val="none" w:sz="0" w:space="0" w:color="auto"/>
        <w:right w:val="none" w:sz="0" w:space="0" w:color="auto"/>
      </w:divBdr>
    </w:div>
    <w:div w:id="1741904731">
      <w:bodyDiv w:val="1"/>
      <w:marLeft w:val="0"/>
      <w:marRight w:val="0"/>
      <w:marTop w:val="0"/>
      <w:marBottom w:val="0"/>
      <w:divBdr>
        <w:top w:val="none" w:sz="0" w:space="0" w:color="auto"/>
        <w:left w:val="none" w:sz="0" w:space="0" w:color="auto"/>
        <w:bottom w:val="none" w:sz="0" w:space="0" w:color="auto"/>
        <w:right w:val="none" w:sz="0" w:space="0" w:color="auto"/>
      </w:divBdr>
    </w:div>
    <w:div w:id="1771196915">
      <w:bodyDiv w:val="1"/>
      <w:marLeft w:val="0"/>
      <w:marRight w:val="0"/>
      <w:marTop w:val="0"/>
      <w:marBottom w:val="0"/>
      <w:divBdr>
        <w:top w:val="none" w:sz="0" w:space="0" w:color="auto"/>
        <w:left w:val="none" w:sz="0" w:space="0" w:color="auto"/>
        <w:bottom w:val="none" w:sz="0" w:space="0" w:color="auto"/>
        <w:right w:val="none" w:sz="0" w:space="0" w:color="auto"/>
      </w:divBdr>
    </w:div>
    <w:div w:id="1771970987">
      <w:bodyDiv w:val="1"/>
      <w:marLeft w:val="0"/>
      <w:marRight w:val="0"/>
      <w:marTop w:val="0"/>
      <w:marBottom w:val="0"/>
      <w:divBdr>
        <w:top w:val="none" w:sz="0" w:space="0" w:color="auto"/>
        <w:left w:val="none" w:sz="0" w:space="0" w:color="auto"/>
        <w:bottom w:val="none" w:sz="0" w:space="0" w:color="auto"/>
        <w:right w:val="none" w:sz="0" w:space="0" w:color="auto"/>
      </w:divBdr>
    </w:div>
    <w:div w:id="1780367559">
      <w:bodyDiv w:val="1"/>
      <w:marLeft w:val="0"/>
      <w:marRight w:val="0"/>
      <w:marTop w:val="0"/>
      <w:marBottom w:val="0"/>
      <w:divBdr>
        <w:top w:val="none" w:sz="0" w:space="0" w:color="auto"/>
        <w:left w:val="none" w:sz="0" w:space="0" w:color="auto"/>
        <w:bottom w:val="none" w:sz="0" w:space="0" w:color="auto"/>
        <w:right w:val="none" w:sz="0" w:space="0" w:color="auto"/>
      </w:divBdr>
    </w:div>
    <w:div w:id="1787699237">
      <w:bodyDiv w:val="1"/>
      <w:marLeft w:val="0"/>
      <w:marRight w:val="0"/>
      <w:marTop w:val="0"/>
      <w:marBottom w:val="0"/>
      <w:divBdr>
        <w:top w:val="none" w:sz="0" w:space="0" w:color="auto"/>
        <w:left w:val="none" w:sz="0" w:space="0" w:color="auto"/>
        <w:bottom w:val="none" w:sz="0" w:space="0" w:color="auto"/>
        <w:right w:val="none" w:sz="0" w:space="0" w:color="auto"/>
      </w:divBdr>
    </w:div>
    <w:div w:id="1792896823">
      <w:bodyDiv w:val="1"/>
      <w:marLeft w:val="0"/>
      <w:marRight w:val="0"/>
      <w:marTop w:val="0"/>
      <w:marBottom w:val="0"/>
      <w:divBdr>
        <w:top w:val="none" w:sz="0" w:space="0" w:color="auto"/>
        <w:left w:val="none" w:sz="0" w:space="0" w:color="auto"/>
        <w:bottom w:val="none" w:sz="0" w:space="0" w:color="auto"/>
        <w:right w:val="none" w:sz="0" w:space="0" w:color="auto"/>
      </w:divBdr>
    </w:div>
    <w:div w:id="1830753314">
      <w:bodyDiv w:val="1"/>
      <w:marLeft w:val="0"/>
      <w:marRight w:val="0"/>
      <w:marTop w:val="0"/>
      <w:marBottom w:val="0"/>
      <w:divBdr>
        <w:top w:val="none" w:sz="0" w:space="0" w:color="auto"/>
        <w:left w:val="none" w:sz="0" w:space="0" w:color="auto"/>
        <w:bottom w:val="none" w:sz="0" w:space="0" w:color="auto"/>
        <w:right w:val="none" w:sz="0" w:space="0" w:color="auto"/>
      </w:divBdr>
    </w:div>
    <w:div w:id="1860075375">
      <w:bodyDiv w:val="1"/>
      <w:marLeft w:val="0"/>
      <w:marRight w:val="0"/>
      <w:marTop w:val="0"/>
      <w:marBottom w:val="0"/>
      <w:divBdr>
        <w:top w:val="none" w:sz="0" w:space="0" w:color="auto"/>
        <w:left w:val="none" w:sz="0" w:space="0" w:color="auto"/>
        <w:bottom w:val="none" w:sz="0" w:space="0" w:color="auto"/>
        <w:right w:val="none" w:sz="0" w:space="0" w:color="auto"/>
      </w:divBdr>
    </w:div>
    <w:div w:id="1902984831">
      <w:bodyDiv w:val="1"/>
      <w:marLeft w:val="0"/>
      <w:marRight w:val="0"/>
      <w:marTop w:val="0"/>
      <w:marBottom w:val="0"/>
      <w:divBdr>
        <w:top w:val="none" w:sz="0" w:space="0" w:color="auto"/>
        <w:left w:val="none" w:sz="0" w:space="0" w:color="auto"/>
        <w:bottom w:val="none" w:sz="0" w:space="0" w:color="auto"/>
        <w:right w:val="none" w:sz="0" w:space="0" w:color="auto"/>
      </w:divBdr>
    </w:div>
    <w:div w:id="1937446374">
      <w:bodyDiv w:val="1"/>
      <w:marLeft w:val="0"/>
      <w:marRight w:val="0"/>
      <w:marTop w:val="0"/>
      <w:marBottom w:val="0"/>
      <w:divBdr>
        <w:top w:val="none" w:sz="0" w:space="0" w:color="auto"/>
        <w:left w:val="none" w:sz="0" w:space="0" w:color="auto"/>
        <w:bottom w:val="none" w:sz="0" w:space="0" w:color="auto"/>
        <w:right w:val="none" w:sz="0" w:space="0" w:color="auto"/>
      </w:divBdr>
    </w:div>
    <w:div w:id="1945140887">
      <w:bodyDiv w:val="1"/>
      <w:marLeft w:val="0"/>
      <w:marRight w:val="0"/>
      <w:marTop w:val="0"/>
      <w:marBottom w:val="0"/>
      <w:divBdr>
        <w:top w:val="none" w:sz="0" w:space="0" w:color="auto"/>
        <w:left w:val="none" w:sz="0" w:space="0" w:color="auto"/>
        <w:bottom w:val="none" w:sz="0" w:space="0" w:color="auto"/>
        <w:right w:val="none" w:sz="0" w:space="0" w:color="auto"/>
      </w:divBdr>
    </w:div>
    <w:div w:id="1950697963">
      <w:bodyDiv w:val="1"/>
      <w:marLeft w:val="0"/>
      <w:marRight w:val="0"/>
      <w:marTop w:val="0"/>
      <w:marBottom w:val="0"/>
      <w:divBdr>
        <w:top w:val="none" w:sz="0" w:space="0" w:color="auto"/>
        <w:left w:val="none" w:sz="0" w:space="0" w:color="auto"/>
        <w:bottom w:val="none" w:sz="0" w:space="0" w:color="auto"/>
        <w:right w:val="none" w:sz="0" w:space="0" w:color="auto"/>
      </w:divBdr>
    </w:div>
    <w:div w:id="1962759368">
      <w:bodyDiv w:val="1"/>
      <w:marLeft w:val="0"/>
      <w:marRight w:val="0"/>
      <w:marTop w:val="0"/>
      <w:marBottom w:val="0"/>
      <w:divBdr>
        <w:top w:val="none" w:sz="0" w:space="0" w:color="auto"/>
        <w:left w:val="none" w:sz="0" w:space="0" w:color="auto"/>
        <w:bottom w:val="none" w:sz="0" w:space="0" w:color="auto"/>
        <w:right w:val="none" w:sz="0" w:space="0" w:color="auto"/>
      </w:divBdr>
    </w:div>
    <w:div w:id="2008970121">
      <w:bodyDiv w:val="1"/>
      <w:marLeft w:val="0"/>
      <w:marRight w:val="0"/>
      <w:marTop w:val="0"/>
      <w:marBottom w:val="0"/>
      <w:divBdr>
        <w:top w:val="none" w:sz="0" w:space="0" w:color="auto"/>
        <w:left w:val="none" w:sz="0" w:space="0" w:color="auto"/>
        <w:bottom w:val="none" w:sz="0" w:space="0" w:color="auto"/>
        <w:right w:val="none" w:sz="0" w:space="0" w:color="auto"/>
      </w:divBdr>
    </w:div>
    <w:div w:id="2080781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hyperlink" Target="mailto:salehcheh-m@ajums.ac.i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C6CE3-B3D6-4057-B182-6451CEA4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17051</Words>
  <Characters>97195</Characters>
  <Application>Microsoft Office Word</Application>
  <DocSecurity>0</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114018</CharactersWithSpaces>
  <SharedDoc>false</SharedDoc>
  <HLinks>
    <vt:vector size="6" baseType="variant">
      <vt:variant>
        <vt:i4>4718626</vt:i4>
      </vt:variant>
      <vt:variant>
        <vt:i4>6</vt:i4>
      </vt:variant>
      <vt:variant>
        <vt:i4>0</vt:i4>
      </vt:variant>
      <vt:variant>
        <vt:i4>5</vt:i4>
      </vt:variant>
      <vt:variant>
        <vt:lpwstr>mailto:suri.dwi@lecturer.unri.ac.id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golsa khajenezam</cp:lastModifiedBy>
  <cp:revision>2</cp:revision>
  <cp:lastPrinted>2025-07-09T20:15:00Z</cp:lastPrinted>
  <dcterms:created xsi:type="dcterms:W3CDTF">2025-09-08T19:40:00Z</dcterms:created>
  <dcterms:modified xsi:type="dcterms:W3CDTF">2025-09-08T19:40:00Z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e8c6babe-0ff6-3684-878f-f3b3c3e60aae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4573e8d7-659b-49d4-ab6c-3ae60c17b57a</vt:lpwstr>
  </property>
</Properties>
</file>